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CA" w:rsidRDefault="00DF31CA" w:rsidP="00D25410">
      <w:pPr>
        <w:jc w:val="center"/>
        <w:rPr>
          <w:rFonts w:ascii="Helvetica" w:hAnsi="Helvetica"/>
          <w:b/>
        </w:rPr>
      </w:pPr>
      <w:r w:rsidRPr="00DF31CA">
        <w:rPr>
          <w:rFonts w:ascii="Helvetica" w:hAnsi="Helvetica"/>
          <w:b/>
        </w:rPr>
        <w:t xml:space="preserve">Academic </w:t>
      </w:r>
      <w:r w:rsidR="00B739E2">
        <w:rPr>
          <w:rFonts w:ascii="Helvetica" w:hAnsi="Helvetica"/>
          <w:b/>
        </w:rPr>
        <w:t xml:space="preserve">Program </w:t>
      </w:r>
      <w:r w:rsidRPr="00DF31CA">
        <w:rPr>
          <w:rFonts w:ascii="Helvetica" w:hAnsi="Helvetica"/>
          <w:b/>
        </w:rPr>
        <w:t>Assessment Plan</w:t>
      </w:r>
    </w:p>
    <w:p w:rsidR="003E4D84" w:rsidRPr="00DF31CA" w:rsidRDefault="00406361" w:rsidP="00D25410">
      <w:pPr>
        <w:jc w:val="center"/>
        <w:rPr>
          <w:rFonts w:ascii="Helvetica" w:hAnsi="Helvetica"/>
          <w:b/>
        </w:rPr>
      </w:pPr>
      <w:r>
        <w:rPr>
          <w:rFonts w:ascii="Helvetica" w:hAnsi="Helvetica"/>
          <w:b/>
        </w:rPr>
        <w:t>Certificate</w:t>
      </w:r>
      <w:r w:rsidR="004D6973">
        <w:rPr>
          <w:rFonts w:ascii="Helvetica" w:hAnsi="Helvetica"/>
          <w:b/>
        </w:rPr>
        <w:t>: Homeland Security Studies</w:t>
      </w:r>
    </w:p>
    <w:p w:rsidR="003E4D84" w:rsidRDefault="003E4D84" w:rsidP="00D25410">
      <w:pPr>
        <w:jc w:val="center"/>
        <w:rPr>
          <w:rFonts w:ascii="Helvetica Light Oblique" w:hAnsi="Helvetica Light Oblique"/>
        </w:rPr>
      </w:pPr>
    </w:p>
    <w:p w:rsidR="00DF31CA" w:rsidRDefault="004D6973" w:rsidP="00D25410">
      <w:pPr>
        <w:jc w:val="center"/>
        <w:rPr>
          <w:rFonts w:ascii="Helvetica" w:hAnsi="Helvetica"/>
          <w:b/>
        </w:rPr>
      </w:pPr>
      <w:r>
        <w:rPr>
          <w:rFonts w:ascii="Helvetica" w:hAnsi="Helvetica"/>
          <w:b/>
        </w:rPr>
        <w:t xml:space="preserve">Department of History and </w:t>
      </w:r>
      <w:r w:rsidR="00DF31CA" w:rsidRPr="00DF31CA">
        <w:rPr>
          <w:rFonts w:ascii="Helvetica" w:hAnsi="Helvetica"/>
          <w:b/>
        </w:rPr>
        <w:t>Political Science</w:t>
      </w:r>
    </w:p>
    <w:p w:rsidR="00DF31CA" w:rsidRDefault="00F000BE" w:rsidP="00D25410">
      <w:pPr>
        <w:jc w:val="center"/>
        <w:rPr>
          <w:rFonts w:ascii="Helvetica" w:hAnsi="Helvetica"/>
          <w:b/>
        </w:rPr>
      </w:pPr>
      <w:r>
        <w:rPr>
          <w:rFonts w:ascii="Helvetica" w:hAnsi="Helvetica"/>
          <w:b/>
        </w:rPr>
        <w:t>College of Humanities and</w:t>
      </w:r>
      <w:r w:rsidR="00DF31CA">
        <w:rPr>
          <w:rFonts w:ascii="Helvetica" w:hAnsi="Helvetica"/>
          <w:b/>
        </w:rPr>
        <w:t xml:space="preserve"> Social Sciences</w:t>
      </w:r>
    </w:p>
    <w:p w:rsidR="00DF31CA" w:rsidRDefault="00DF31CA" w:rsidP="00D25410">
      <w:pPr>
        <w:jc w:val="center"/>
        <w:rPr>
          <w:rFonts w:ascii="Helvetica" w:hAnsi="Helvetica"/>
          <w:b/>
        </w:rPr>
      </w:pPr>
      <w:r w:rsidRPr="00DF31CA">
        <w:rPr>
          <w:rFonts w:ascii="Helvetica" w:hAnsi="Helvetica"/>
          <w:b/>
        </w:rPr>
        <w:t>Colorado State University-Pueblo</w:t>
      </w:r>
    </w:p>
    <w:p w:rsidR="00DF31CA" w:rsidRDefault="00DF31CA" w:rsidP="00F703D8">
      <w:pPr>
        <w:rPr>
          <w:rFonts w:ascii="Helvetica" w:hAnsi="Helvetica"/>
          <w:b/>
        </w:rPr>
      </w:pPr>
    </w:p>
    <w:p w:rsidR="00D25410" w:rsidRDefault="00D25410" w:rsidP="00F703D8">
      <w:pPr>
        <w:rPr>
          <w:rFonts w:ascii="Helvetica" w:hAnsi="Helvetica"/>
          <w:b/>
        </w:rPr>
      </w:pPr>
    </w:p>
    <w:p w:rsidR="00671126" w:rsidRPr="000D02F3" w:rsidRDefault="00D25410" w:rsidP="00F703D8">
      <w:r w:rsidRPr="000D02F3">
        <w:t>Plan d</w:t>
      </w:r>
      <w:r w:rsidR="00393E4B" w:rsidRPr="000D02F3">
        <w:t xml:space="preserve">eveloped by </w:t>
      </w:r>
      <w:r w:rsidR="004D6973" w:rsidRPr="000D02F3">
        <w:t>David Malet</w:t>
      </w:r>
      <w:r w:rsidRPr="000D02F3">
        <w:t xml:space="preserve">, </w:t>
      </w:r>
      <w:r w:rsidR="00393E4B" w:rsidRPr="000D02F3">
        <w:t xml:space="preserve">Assistant Professor </w:t>
      </w:r>
      <w:r w:rsidR="004D6973" w:rsidRPr="000D02F3">
        <w:t>of Political Science, Director of Center for the Study of Homeland Security</w:t>
      </w:r>
      <w:r w:rsidR="00671126" w:rsidRPr="000D02F3">
        <w:t xml:space="preserve"> (CSHS)</w:t>
      </w:r>
      <w:r w:rsidRPr="000D02F3">
        <w:t xml:space="preserve"> </w:t>
      </w:r>
    </w:p>
    <w:p w:rsidR="00393E4B" w:rsidRPr="000D02F3" w:rsidRDefault="00671126" w:rsidP="00F703D8">
      <w:proofErr w:type="gramStart"/>
      <w:r w:rsidRPr="000D02F3">
        <w:t xml:space="preserve">Prepared </w:t>
      </w:r>
      <w:r w:rsidR="004D6973" w:rsidRPr="000D02F3">
        <w:t>March 2012</w:t>
      </w:r>
      <w:r w:rsidRPr="000D02F3">
        <w:t>.</w:t>
      </w:r>
      <w:proofErr w:type="gramEnd"/>
    </w:p>
    <w:p w:rsidR="00BD342C" w:rsidRPr="000D02F3" w:rsidRDefault="00BD342C" w:rsidP="00F703D8"/>
    <w:p w:rsidR="00BD342C" w:rsidRPr="000D02F3" w:rsidRDefault="00BD342C" w:rsidP="00F703D8">
      <w:r w:rsidRPr="000D02F3">
        <w:t xml:space="preserve">Primary Contact for Assessment: </w:t>
      </w:r>
      <w:r w:rsidR="004D6973" w:rsidRPr="000D02F3">
        <w:t>David Malet</w:t>
      </w:r>
    </w:p>
    <w:p w:rsidR="00C10537" w:rsidRDefault="00C10537" w:rsidP="00C10537">
      <w:pPr>
        <w:rPr>
          <w:rFonts w:ascii="Helvetica" w:hAnsi="Helvetica" w:cs="Times New Roman"/>
          <w:b/>
        </w:rPr>
      </w:pPr>
    </w:p>
    <w:p w:rsidR="00E22EEA" w:rsidRDefault="00E22EEA" w:rsidP="00C10537">
      <w:pPr>
        <w:rPr>
          <w:rFonts w:ascii="Calibri Bold" w:hAnsi="Calibri Bold"/>
        </w:rPr>
      </w:pPr>
    </w:p>
    <w:p w:rsidR="001D631D" w:rsidRDefault="003841CF" w:rsidP="001D631D">
      <w:pPr>
        <w:rPr>
          <w:rFonts w:ascii="Calibri Bold" w:hAnsi="Calibri Bold"/>
        </w:rPr>
      </w:pPr>
      <w:r>
        <w:rPr>
          <w:rFonts w:ascii="Calibri Bold" w:hAnsi="Calibri Bold"/>
        </w:rPr>
        <w:t>Mission</w:t>
      </w:r>
    </w:p>
    <w:p w:rsidR="00671126" w:rsidRDefault="00671126" w:rsidP="001D631D">
      <w:pPr>
        <w:rPr>
          <w:rFonts w:ascii="Calibri Bold" w:hAnsi="Calibri Bold"/>
        </w:rPr>
      </w:pPr>
    </w:p>
    <w:p w:rsidR="003841CF" w:rsidRDefault="003841CF" w:rsidP="00671126">
      <w:r>
        <w:t xml:space="preserve">The Homeland Security Studies Program offers an in-depth opportunity for the scholarly study of the political and public policy issues involved in the homeland security field of governance and industry. It is also intended to provide professional development opportunities for graduates in a growing sector of the economy and </w:t>
      </w:r>
      <w:r w:rsidRPr="003841CF">
        <w:t>t</w:t>
      </w:r>
      <w:r>
        <w:t>o serve mid-career professionals interested in expanding substantive knowledge and career advancement.</w:t>
      </w:r>
    </w:p>
    <w:p w:rsidR="003841CF" w:rsidRDefault="003841CF" w:rsidP="00671126"/>
    <w:p w:rsidR="003841CF" w:rsidRDefault="003841CF" w:rsidP="00671126">
      <w:r>
        <w:t>The Program (encompassing the Minor degree and the non-</w:t>
      </w:r>
      <w:proofErr w:type="spellStart"/>
      <w:r>
        <w:t>transcripted</w:t>
      </w:r>
      <w:proofErr w:type="spellEnd"/>
      <w:r>
        <w:t xml:space="preserve"> Certificate curriculum contained within the Minor) fulfills the missions of both the university and the department as described in the University Catalog:</w:t>
      </w:r>
    </w:p>
    <w:p w:rsidR="003841CF" w:rsidRDefault="003841CF" w:rsidP="00671126"/>
    <w:p w:rsidR="003841CF" w:rsidRPr="003841CF" w:rsidRDefault="003841CF" w:rsidP="003841CF">
      <w:r>
        <w:t>“</w:t>
      </w:r>
      <w:r w:rsidRPr="003841CF">
        <w:t>The</w:t>
      </w:r>
      <w:r>
        <w:t xml:space="preserve"> </w:t>
      </w:r>
      <w:r w:rsidRPr="003841CF">
        <w:t>University shall offer</w:t>
      </w:r>
      <w:r>
        <w:t xml:space="preserve"> a broad array of baccalaureate </w:t>
      </w:r>
      <w:r w:rsidRPr="003841CF">
        <w:t>programs with a strong professional focus and a fi</w:t>
      </w:r>
      <w:r>
        <w:t xml:space="preserve">rm </w:t>
      </w:r>
      <w:r w:rsidRPr="003841CF">
        <w:t>grounding in the liberal arts and sciences.</w:t>
      </w:r>
      <w:r>
        <w:t>”</w:t>
      </w:r>
    </w:p>
    <w:p w:rsidR="003841CF" w:rsidRDefault="003841CF" w:rsidP="00671126"/>
    <w:p w:rsidR="003841CF" w:rsidRPr="003841CF" w:rsidRDefault="003841CF" w:rsidP="003841CF">
      <w:r>
        <w:t>“</w:t>
      </w:r>
      <w:r w:rsidRPr="003841CF">
        <w:t>The programs in history, pol</w:t>
      </w:r>
      <w:r>
        <w:t xml:space="preserve">itical science, philosophy, and </w:t>
      </w:r>
      <w:r w:rsidRPr="003841CF">
        <w:t>geography are intended t</w:t>
      </w:r>
      <w:r>
        <w:t xml:space="preserve">o provide domains of study both </w:t>
      </w:r>
      <w:r w:rsidRPr="003841CF">
        <w:t>for students who desire knowledge for personal</w:t>
      </w:r>
    </w:p>
    <w:p w:rsidR="003841CF" w:rsidRPr="003841CF" w:rsidRDefault="003841CF" w:rsidP="003841CF">
      <w:proofErr w:type="gramStart"/>
      <w:r w:rsidRPr="003841CF">
        <w:t>enrichment</w:t>
      </w:r>
      <w:proofErr w:type="gramEnd"/>
      <w:r w:rsidRPr="003841CF">
        <w:t xml:space="preserve"> and f</w:t>
      </w:r>
      <w:r>
        <w:t xml:space="preserve">or students who desire to apply </w:t>
      </w:r>
      <w:r w:rsidRPr="003841CF">
        <w:t>knowledge toward career objectives.... Departmental programs …</w:t>
      </w:r>
      <w:r>
        <w:t xml:space="preserve"> prepare students for </w:t>
      </w:r>
      <w:r w:rsidRPr="003841CF">
        <w:t>occupations in government, business, education …</w:t>
      </w:r>
      <w:r>
        <w:t>”</w:t>
      </w:r>
    </w:p>
    <w:p w:rsidR="003841CF" w:rsidRDefault="003841CF" w:rsidP="00671126"/>
    <w:p w:rsidR="003841CF" w:rsidRDefault="003841CF" w:rsidP="00671126">
      <w:pPr>
        <w:rPr>
          <w:rFonts w:ascii="Calibri Bold" w:hAnsi="Calibri Bold"/>
        </w:rPr>
      </w:pPr>
      <w:r>
        <w:rPr>
          <w:rFonts w:ascii="Calibri Bold" w:hAnsi="Calibri Bold"/>
        </w:rPr>
        <w:t>Goals and Student Learning Outcomes</w:t>
      </w:r>
    </w:p>
    <w:p w:rsidR="003841CF" w:rsidRDefault="003841CF" w:rsidP="00671126">
      <w:pPr>
        <w:rPr>
          <w:rFonts w:ascii="Calibri Bold" w:hAnsi="Calibri Bold"/>
        </w:rPr>
      </w:pPr>
    </w:p>
    <w:p w:rsidR="000D02F3" w:rsidRDefault="000D02F3" w:rsidP="000D02F3">
      <w:pPr>
        <w:ind w:firstLine="720"/>
        <w:rPr>
          <w:bCs/>
        </w:rPr>
      </w:pPr>
      <w:r>
        <w:rPr>
          <w:bCs/>
        </w:rPr>
        <w:t xml:space="preserve">In 2010, the national Homeland Security and Defense Education Consortium Association proposed national accreditation standards and learning outcomes for homeland security undergraduate and graduate degree programs. While no guidelines were proposed for certificates or minors, the Program has adopted the learning outcomes for undergraduate programs as the basis for the Minor curriculum so as to be in compliance with all accreditation recommendations.  </w:t>
      </w:r>
    </w:p>
    <w:p w:rsidR="000D02F3" w:rsidRDefault="000D02F3" w:rsidP="000D02F3">
      <w:pPr>
        <w:ind w:firstLine="720"/>
        <w:rPr>
          <w:bCs/>
        </w:rPr>
      </w:pPr>
    </w:p>
    <w:p w:rsidR="000D02F3" w:rsidRDefault="000D02F3" w:rsidP="000D02F3">
      <w:pPr>
        <w:rPr>
          <w:bCs/>
        </w:rPr>
      </w:pPr>
    </w:p>
    <w:p w:rsidR="000D02F3" w:rsidRDefault="000D02F3" w:rsidP="000D02F3">
      <w:pPr>
        <w:pStyle w:val="Default"/>
        <w:rPr>
          <w:sz w:val="20"/>
          <w:szCs w:val="20"/>
        </w:rPr>
      </w:pPr>
      <w:r>
        <w:rPr>
          <w:b/>
          <w:bCs/>
          <w:sz w:val="20"/>
          <w:szCs w:val="20"/>
        </w:rPr>
        <w:t>Undergraduate Degree General Outcomes (HSDECA a-</w:t>
      </w:r>
      <w:proofErr w:type="spellStart"/>
      <w:r>
        <w:rPr>
          <w:b/>
          <w:bCs/>
          <w:sz w:val="20"/>
          <w:szCs w:val="20"/>
        </w:rPr>
        <w:t>i</w:t>
      </w:r>
      <w:proofErr w:type="spellEnd"/>
      <w:r>
        <w:rPr>
          <w:b/>
          <w:bCs/>
          <w:sz w:val="20"/>
          <w:szCs w:val="20"/>
        </w:rPr>
        <w:t xml:space="preserve">) </w:t>
      </w:r>
    </w:p>
    <w:p w:rsidR="000D02F3" w:rsidRDefault="000D02F3" w:rsidP="000D02F3">
      <w:pPr>
        <w:pStyle w:val="Default"/>
        <w:rPr>
          <w:sz w:val="20"/>
          <w:szCs w:val="20"/>
        </w:rPr>
      </w:pPr>
      <w:r>
        <w:rPr>
          <w:sz w:val="20"/>
          <w:szCs w:val="20"/>
        </w:rPr>
        <w:t xml:space="preserve">Satisfying general outcomes indicate that programs meet a minimum set of professional and intellectual standards in degree curriculum. Though some of the following outcomes may be satisfied by program coursework, some may be satisfied by the institution’s general education requirements, course test out or high school AP equivalency. Thus, at a general level, homeland security, homeland defense or similarly named baccalaureate degree programs must demonstrate that their graduates have: </w:t>
      </w:r>
    </w:p>
    <w:p w:rsidR="000D02F3" w:rsidRDefault="000D02F3" w:rsidP="000D02F3">
      <w:pPr>
        <w:pStyle w:val="Default"/>
        <w:spacing w:after="138"/>
        <w:rPr>
          <w:sz w:val="20"/>
          <w:szCs w:val="20"/>
        </w:rPr>
      </w:pPr>
      <w:r>
        <w:rPr>
          <w:sz w:val="20"/>
          <w:szCs w:val="20"/>
        </w:rPr>
        <w:t xml:space="preserve">a) An ability to apply homeland security or defense concepts in a non-academic setting through an internship, cooperative, or supervised experience to include real-world experiences, strategies, and objectives. </w:t>
      </w:r>
    </w:p>
    <w:p w:rsidR="000D02F3" w:rsidRDefault="000D02F3" w:rsidP="000D02F3">
      <w:pPr>
        <w:pStyle w:val="Default"/>
        <w:spacing w:after="138"/>
        <w:rPr>
          <w:sz w:val="20"/>
          <w:szCs w:val="20"/>
        </w:rPr>
      </w:pPr>
      <w:r>
        <w:rPr>
          <w:sz w:val="20"/>
          <w:szCs w:val="20"/>
        </w:rPr>
        <w:t xml:space="preserve">b) An understanding of professional ethics and how they apply in the field of homeland security or defense. </w:t>
      </w:r>
    </w:p>
    <w:p w:rsidR="000D02F3" w:rsidRDefault="000D02F3" w:rsidP="000D02F3">
      <w:pPr>
        <w:pStyle w:val="Default"/>
        <w:spacing w:after="138"/>
        <w:rPr>
          <w:sz w:val="20"/>
          <w:szCs w:val="20"/>
        </w:rPr>
      </w:pPr>
      <w:r>
        <w:rPr>
          <w:sz w:val="20"/>
          <w:szCs w:val="20"/>
        </w:rPr>
        <w:t xml:space="preserve">c) An ability to apply knowledge of mathematics and science. </w:t>
      </w:r>
    </w:p>
    <w:p w:rsidR="000D02F3" w:rsidRDefault="000D02F3" w:rsidP="000D02F3">
      <w:pPr>
        <w:pStyle w:val="Default"/>
        <w:spacing w:after="138"/>
        <w:rPr>
          <w:sz w:val="20"/>
          <w:szCs w:val="20"/>
        </w:rPr>
      </w:pPr>
      <w:r>
        <w:rPr>
          <w:sz w:val="20"/>
          <w:szCs w:val="20"/>
        </w:rPr>
        <w:t xml:space="preserve">d) An ability to work collaboratively. </w:t>
      </w:r>
    </w:p>
    <w:p w:rsidR="000D02F3" w:rsidRDefault="000D02F3" w:rsidP="000D02F3">
      <w:pPr>
        <w:pStyle w:val="Default"/>
        <w:spacing w:after="138"/>
        <w:rPr>
          <w:sz w:val="20"/>
          <w:szCs w:val="20"/>
        </w:rPr>
      </w:pPr>
      <w:r>
        <w:rPr>
          <w:sz w:val="20"/>
          <w:szCs w:val="20"/>
        </w:rPr>
        <w:t xml:space="preserve">e) A recognition of transnational and global application of homeland security or defense issues, strategies and operations. </w:t>
      </w:r>
    </w:p>
    <w:p w:rsidR="000D02F3" w:rsidRDefault="000D02F3" w:rsidP="000D02F3">
      <w:pPr>
        <w:pStyle w:val="Default"/>
        <w:spacing w:after="138"/>
        <w:rPr>
          <w:sz w:val="20"/>
          <w:szCs w:val="20"/>
        </w:rPr>
      </w:pPr>
      <w:r>
        <w:rPr>
          <w:sz w:val="20"/>
          <w:szCs w:val="20"/>
        </w:rPr>
        <w:t xml:space="preserve">f) An ability to design, conduct and evaluate exercises applicable to the disciplines of homeland security or defense. </w:t>
      </w:r>
    </w:p>
    <w:p w:rsidR="000D02F3" w:rsidRDefault="000D02F3" w:rsidP="000D02F3">
      <w:pPr>
        <w:pStyle w:val="Default"/>
        <w:spacing w:after="138"/>
        <w:rPr>
          <w:sz w:val="20"/>
          <w:szCs w:val="20"/>
        </w:rPr>
      </w:pPr>
      <w:r>
        <w:rPr>
          <w:sz w:val="20"/>
          <w:szCs w:val="20"/>
        </w:rPr>
        <w:t xml:space="preserve">g) An ability to identify, describe and critically evaluate applicable homeland security or defense technologies. </w:t>
      </w:r>
    </w:p>
    <w:p w:rsidR="000D02F3" w:rsidRDefault="000D02F3" w:rsidP="000D02F3">
      <w:pPr>
        <w:pStyle w:val="Default"/>
        <w:spacing w:after="138"/>
        <w:rPr>
          <w:sz w:val="20"/>
          <w:szCs w:val="20"/>
        </w:rPr>
      </w:pPr>
      <w:r>
        <w:rPr>
          <w:sz w:val="20"/>
          <w:szCs w:val="20"/>
        </w:rPr>
        <w:t xml:space="preserve">h) Knowledge of contemporary or emergent threats, challenges or issues including natural, </w:t>
      </w:r>
      <w:proofErr w:type="spellStart"/>
      <w:r>
        <w:rPr>
          <w:sz w:val="20"/>
          <w:szCs w:val="20"/>
        </w:rPr>
        <w:t>man made</w:t>
      </w:r>
      <w:proofErr w:type="spellEnd"/>
      <w:r>
        <w:rPr>
          <w:sz w:val="20"/>
          <w:szCs w:val="20"/>
        </w:rPr>
        <w:t xml:space="preserve"> and technological hazards. </w:t>
      </w:r>
    </w:p>
    <w:p w:rsidR="000D02F3" w:rsidRDefault="000D02F3" w:rsidP="000D02F3">
      <w:pPr>
        <w:pStyle w:val="Default"/>
        <w:rPr>
          <w:sz w:val="20"/>
          <w:szCs w:val="20"/>
        </w:rPr>
      </w:pPr>
      <w:proofErr w:type="spellStart"/>
      <w:r>
        <w:rPr>
          <w:sz w:val="20"/>
          <w:szCs w:val="20"/>
        </w:rPr>
        <w:t>i</w:t>
      </w:r>
      <w:proofErr w:type="spellEnd"/>
      <w:r>
        <w:rPr>
          <w:sz w:val="20"/>
          <w:szCs w:val="20"/>
        </w:rPr>
        <w:t xml:space="preserve">) Demonstrate the ability to synthesize, analyze or evaluate homeland security or homeland defense issues or challenges (i.e., either a capstone practicum or undergraduate thesis). </w:t>
      </w:r>
    </w:p>
    <w:p w:rsidR="000D02F3" w:rsidRDefault="000D02F3" w:rsidP="000D02F3">
      <w:pPr>
        <w:rPr>
          <w:bCs/>
        </w:rPr>
      </w:pPr>
    </w:p>
    <w:p w:rsidR="000D02F3" w:rsidRDefault="000D02F3" w:rsidP="000D02F3">
      <w:pPr>
        <w:pStyle w:val="Default"/>
        <w:rPr>
          <w:b/>
          <w:bCs/>
          <w:sz w:val="20"/>
          <w:szCs w:val="20"/>
        </w:rPr>
      </w:pPr>
    </w:p>
    <w:p w:rsidR="000D02F3" w:rsidRDefault="000D02F3" w:rsidP="000D02F3">
      <w:pPr>
        <w:pStyle w:val="Default"/>
        <w:rPr>
          <w:sz w:val="20"/>
          <w:szCs w:val="20"/>
        </w:rPr>
      </w:pPr>
      <w:r>
        <w:rPr>
          <w:b/>
          <w:bCs/>
          <w:sz w:val="20"/>
          <w:szCs w:val="20"/>
        </w:rPr>
        <w:t xml:space="preserve">Core Area (CA) Outcomes (HSDECA 1-23) </w:t>
      </w:r>
    </w:p>
    <w:p w:rsidR="000D02F3" w:rsidRDefault="000D02F3" w:rsidP="000D02F3">
      <w:pPr>
        <w:pStyle w:val="Default"/>
        <w:rPr>
          <w:sz w:val="20"/>
          <w:szCs w:val="20"/>
        </w:rPr>
      </w:pPr>
      <w:r>
        <w:rPr>
          <w:sz w:val="20"/>
          <w:szCs w:val="20"/>
        </w:rPr>
        <w:t xml:space="preserve">Core area outcomes demonstrate professional breadth of preparation as it applies to the field of homeland security or homeland defense. Programs satisfying core area outcomes should include the following curricular (i.e., core academic) areas. Suggested definitions for each academic area follow. Although programs can assume some latitude in how their specific curriculum integrates or operationalizes each of the core areas below, programs must accomplish each of the following outcomes. Whereas undergraduate programs must accomplish each of the following outcomes at a lower level of learning, graduate programs must accomplish these outcomes, but demonstrate a higher level of learning than undergraduate programs. Hence, homeland security, homeland defense or similarly named programs must demonstrate that their students have: </w:t>
      </w:r>
    </w:p>
    <w:p w:rsidR="000D02F3" w:rsidRDefault="000D02F3" w:rsidP="000D02F3">
      <w:pPr>
        <w:pStyle w:val="Default"/>
        <w:rPr>
          <w:sz w:val="20"/>
          <w:szCs w:val="20"/>
        </w:rPr>
      </w:pPr>
      <w:r>
        <w:rPr>
          <w:b/>
          <w:bCs/>
          <w:sz w:val="20"/>
          <w:szCs w:val="20"/>
        </w:rPr>
        <w:t xml:space="preserve">CA1. Intelligence - </w:t>
      </w:r>
      <w:r>
        <w:rPr>
          <w:i/>
          <w:iCs/>
          <w:sz w:val="20"/>
          <w:szCs w:val="20"/>
        </w:rPr>
        <w:t xml:space="preserve">A systematic process of collection, analysis, and dissemination of information in support of national, state, and/or local policy or strategy. </w:t>
      </w:r>
    </w:p>
    <w:p w:rsidR="000D02F3" w:rsidRDefault="000D02F3" w:rsidP="000D02F3">
      <w:pPr>
        <w:pStyle w:val="Default"/>
        <w:rPr>
          <w:sz w:val="20"/>
          <w:szCs w:val="20"/>
        </w:rPr>
      </w:pPr>
      <w:r>
        <w:rPr>
          <w:sz w:val="20"/>
          <w:szCs w:val="20"/>
        </w:rPr>
        <w:t xml:space="preserve">1) An ability to demonstrate knowledge of intelligence and counter-intelligence concepts, to include the collection, analysis, and dissemination of intelligence data both within the US and internationally. </w:t>
      </w:r>
    </w:p>
    <w:p w:rsidR="000D02F3" w:rsidRDefault="000D02F3" w:rsidP="000D02F3">
      <w:pPr>
        <w:pStyle w:val="Default"/>
        <w:rPr>
          <w:sz w:val="20"/>
          <w:szCs w:val="20"/>
        </w:rPr>
      </w:pPr>
      <w:r>
        <w:rPr>
          <w:sz w:val="20"/>
          <w:szCs w:val="20"/>
        </w:rPr>
        <w:lastRenderedPageBreak/>
        <w:t xml:space="preserve">2) An ability to demonstrate knowledge of the organization and mission of the federal Intelligence Community, state and local intelligence agencies within the US, private/corporate sector intelligence efforts, and selected components globally. </w:t>
      </w:r>
    </w:p>
    <w:p w:rsidR="000D02F3" w:rsidRDefault="000D02F3" w:rsidP="000D02F3">
      <w:pPr>
        <w:pStyle w:val="Default"/>
        <w:rPr>
          <w:sz w:val="20"/>
          <w:szCs w:val="20"/>
        </w:rPr>
      </w:pPr>
      <w:r>
        <w:rPr>
          <w:sz w:val="20"/>
          <w:szCs w:val="20"/>
        </w:rPr>
        <w:t xml:space="preserve">3) An ability to demonstrate and synthesize fundamental intelligence concepts while understanding their variables, limitations, and shortcomings. </w:t>
      </w:r>
    </w:p>
    <w:p w:rsidR="000D02F3" w:rsidRDefault="000D02F3" w:rsidP="000D02F3">
      <w:pPr>
        <w:pStyle w:val="Default"/>
        <w:rPr>
          <w:sz w:val="20"/>
          <w:szCs w:val="20"/>
        </w:rPr>
      </w:pPr>
      <w:r>
        <w:rPr>
          <w:b/>
          <w:bCs/>
          <w:sz w:val="20"/>
          <w:szCs w:val="20"/>
        </w:rPr>
        <w:t>CA2. Law &amp; Policy –</w:t>
      </w:r>
      <w:r>
        <w:rPr>
          <w:i/>
          <w:iCs/>
          <w:sz w:val="20"/>
          <w:szCs w:val="20"/>
        </w:rPr>
        <w:t xml:space="preserve">Legal and policy formulations that provide the basic direction of homeland security means and objectives and establish a context for homeland security within the broader purview of national security. </w:t>
      </w:r>
    </w:p>
    <w:p w:rsidR="000D02F3" w:rsidRDefault="000D02F3" w:rsidP="000D02F3">
      <w:pPr>
        <w:pStyle w:val="Default"/>
        <w:rPr>
          <w:sz w:val="20"/>
          <w:szCs w:val="20"/>
        </w:rPr>
      </w:pPr>
      <w:r>
        <w:rPr>
          <w:sz w:val="20"/>
          <w:szCs w:val="20"/>
        </w:rPr>
        <w:t xml:space="preserve">4) An ability to demonstrate knowledge of legal and constitutional principles and their application in the area of Homeland or National Security law and policy. </w:t>
      </w:r>
    </w:p>
    <w:p w:rsidR="000D02F3" w:rsidRDefault="000D02F3" w:rsidP="000D02F3">
      <w:pPr>
        <w:pStyle w:val="Default"/>
        <w:rPr>
          <w:sz w:val="20"/>
          <w:szCs w:val="20"/>
        </w:rPr>
      </w:pPr>
      <w:r>
        <w:rPr>
          <w:sz w:val="20"/>
          <w:szCs w:val="20"/>
        </w:rPr>
        <w:t xml:space="preserve">5) An ability to demonstrate knowledge of case law, precedential, and court decisions relating to and having an effect upon homeland security policy and law. </w:t>
      </w:r>
    </w:p>
    <w:p w:rsidR="000D02F3" w:rsidRPr="00E2160B" w:rsidRDefault="000D02F3" w:rsidP="000D02F3">
      <w:pPr>
        <w:rPr>
          <w:rFonts w:ascii="Verdana" w:hAnsi="Verdana"/>
          <w:bCs/>
          <w:i/>
        </w:rPr>
      </w:pPr>
      <w:r w:rsidRPr="00E2160B">
        <w:rPr>
          <w:rFonts w:ascii="Verdana" w:hAnsi="Verdana"/>
          <w:b/>
          <w:bCs/>
          <w:sz w:val="20"/>
          <w:szCs w:val="20"/>
        </w:rPr>
        <w:t>CA3. Emergency Management</w:t>
      </w:r>
      <w:r>
        <w:rPr>
          <w:b/>
          <w:bCs/>
          <w:sz w:val="20"/>
          <w:szCs w:val="20"/>
        </w:rPr>
        <w:t xml:space="preserve"> - </w:t>
      </w:r>
      <w:r w:rsidRPr="00E2160B">
        <w:rPr>
          <w:rFonts w:ascii="Verdana" w:hAnsi="Verdana"/>
          <w:i/>
          <w:iCs/>
          <w:sz w:val="20"/>
          <w:szCs w:val="20"/>
        </w:rPr>
        <w:t>Emergency management includes the process of preparation for and the carrying out of all emergency functions necessary to protect, prepare for, respond to, and recover from emergencies and disasters caused by all hazards, whether natural, technological, or human caused. Emergency management is a comprehensive and continuous improvement oriented process designed to save lives, avoid injury or illness, and minimize damage to the environment and economic losses to property.</w:t>
      </w:r>
    </w:p>
    <w:p w:rsidR="000D02F3" w:rsidRDefault="000D02F3" w:rsidP="000D02F3">
      <w:pPr>
        <w:pStyle w:val="Default"/>
        <w:rPr>
          <w:sz w:val="20"/>
          <w:szCs w:val="20"/>
        </w:rPr>
      </w:pPr>
      <w:r>
        <w:rPr>
          <w:sz w:val="20"/>
          <w:szCs w:val="20"/>
        </w:rPr>
        <w:t xml:space="preserve">6) An ability to demonstrate knowledge of emergency management and response concepts, operations, phases, and procedures across the range of homeland security challenges. </w:t>
      </w:r>
    </w:p>
    <w:p w:rsidR="000D02F3" w:rsidRDefault="000D02F3" w:rsidP="000D02F3">
      <w:pPr>
        <w:pStyle w:val="Default"/>
        <w:rPr>
          <w:sz w:val="20"/>
          <w:szCs w:val="20"/>
        </w:rPr>
      </w:pPr>
      <w:r>
        <w:rPr>
          <w:sz w:val="20"/>
          <w:szCs w:val="20"/>
        </w:rPr>
        <w:t xml:space="preserve">7) An ability to demonstrate knowledge of entry-level emergency management training and exercise types and strategies, and risk management principles. </w:t>
      </w:r>
    </w:p>
    <w:p w:rsidR="000D02F3" w:rsidRDefault="000D02F3" w:rsidP="000D02F3">
      <w:pPr>
        <w:pStyle w:val="Default"/>
        <w:rPr>
          <w:sz w:val="20"/>
          <w:szCs w:val="20"/>
        </w:rPr>
      </w:pPr>
      <w:r>
        <w:rPr>
          <w:b/>
          <w:bCs/>
          <w:sz w:val="20"/>
          <w:szCs w:val="20"/>
        </w:rPr>
        <w:t xml:space="preserve">CA4. Risk Analysis - </w:t>
      </w:r>
      <w:r>
        <w:rPr>
          <w:i/>
          <w:iCs/>
          <w:sz w:val="20"/>
          <w:szCs w:val="20"/>
        </w:rPr>
        <w:t xml:space="preserve">A systematic method of identifying the assets (e.g., critical infrastructure and key resources) of a system, the threats (i.e., strategic, political, economic, technological, or cultural) to those assets, and the vulnerability of the system to those threats in such a way as to be able to quantify threats and their consequences to a system for the purpose of developing appropriate countermeasures. </w:t>
      </w:r>
    </w:p>
    <w:p w:rsidR="000D02F3" w:rsidRDefault="000D02F3" w:rsidP="000D02F3">
      <w:pPr>
        <w:pStyle w:val="Default"/>
        <w:rPr>
          <w:sz w:val="20"/>
          <w:szCs w:val="20"/>
        </w:rPr>
      </w:pPr>
      <w:r>
        <w:rPr>
          <w:sz w:val="20"/>
          <w:szCs w:val="20"/>
        </w:rPr>
        <w:t xml:space="preserve">8) An ability to demonstrate knowledge of risk analysis principles, processes, and techniques, in both the public and private sectors. This includes knowledge of an all hazards approach to risk analysis and infrastructure protection. </w:t>
      </w:r>
    </w:p>
    <w:p w:rsidR="000D02F3" w:rsidRDefault="000D02F3" w:rsidP="000D02F3">
      <w:pPr>
        <w:pStyle w:val="Default"/>
        <w:rPr>
          <w:sz w:val="20"/>
          <w:szCs w:val="20"/>
        </w:rPr>
      </w:pPr>
      <w:r>
        <w:rPr>
          <w:sz w:val="20"/>
          <w:szCs w:val="20"/>
        </w:rPr>
        <w:t xml:space="preserve">9) An ability to demonstrate knowledge of threat, vulnerability, consequence, and critical infrastructure analysis. </w:t>
      </w:r>
    </w:p>
    <w:p w:rsidR="000D02F3" w:rsidRDefault="000D02F3" w:rsidP="000D02F3">
      <w:pPr>
        <w:pStyle w:val="Default"/>
        <w:rPr>
          <w:sz w:val="20"/>
          <w:szCs w:val="20"/>
        </w:rPr>
      </w:pPr>
      <w:r>
        <w:rPr>
          <w:sz w:val="20"/>
          <w:szCs w:val="20"/>
        </w:rPr>
        <w:t xml:space="preserve">10) An ability to demonstrate basic industrial security strategies, challenges and principles. </w:t>
      </w:r>
    </w:p>
    <w:p w:rsidR="000D02F3" w:rsidRDefault="000D02F3" w:rsidP="000D02F3">
      <w:pPr>
        <w:pStyle w:val="Default"/>
        <w:rPr>
          <w:sz w:val="20"/>
          <w:szCs w:val="20"/>
        </w:rPr>
      </w:pPr>
      <w:r>
        <w:rPr>
          <w:b/>
          <w:bCs/>
          <w:sz w:val="20"/>
          <w:szCs w:val="20"/>
        </w:rPr>
        <w:t xml:space="preserve">CA5. Critical Infrastructure &amp; Key Resources – </w:t>
      </w:r>
      <w:r>
        <w:rPr>
          <w:i/>
          <w:iCs/>
          <w:sz w:val="20"/>
          <w:szCs w:val="20"/>
        </w:rPr>
        <w:t xml:space="preserve">Systems, resources and assets, whether physical or virtual, so vital to the United States that the incapacity or destruction of such systems, resources or assets would have a debilitating impact on national security, economic security, public health or safety, or any combination of these. </w:t>
      </w:r>
    </w:p>
    <w:p w:rsidR="000D02F3" w:rsidRDefault="000D02F3" w:rsidP="000D02F3">
      <w:pPr>
        <w:pStyle w:val="Default"/>
        <w:rPr>
          <w:sz w:val="20"/>
          <w:szCs w:val="20"/>
        </w:rPr>
      </w:pPr>
      <w:r>
        <w:rPr>
          <w:sz w:val="20"/>
          <w:szCs w:val="20"/>
        </w:rPr>
        <w:t xml:space="preserve">11) An ability to demonstrate knowledge of the evolution and basic principles of critical infrastructure, in both the private and public sectors vital to their community, state or the nation. </w:t>
      </w:r>
    </w:p>
    <w:p w:rsidR="000D02F3" w:rsidRDefault="000D02F3" w:rsidP="000D02F3">
      <w:pPr>
        <w:pStyle w:val="Default"/>
        <w:spacing w:after="138"/>
        <w:rPr>
          <w:sz w:val="20"/>
          <w:szCs w:val="20"/>
        </w:rPr>
      </w:pPr>
      <w:r>
        <w:rPr>
          <w:sz w:val="20"/>
          <w:szCs w:val="20"/>
        </w:rPr>
        <w:t xml:space="preserve">12) An ability to identify and describe each of the recognized sectors of critical infrastructure and key resources, and identify appropriate counter measures using a risk-based methodology. </w:t>
      </w:r>
    </w:p>
    <w:p w:rsidR="000D02F3" w:rsidRDefault="000D02F3" w:rsidP="000D02F3">
      <w:pPr>
        <w:pStyle w:val="Default"/>
        <w:spacing w:after="138"/>
        <w:rPr>
          <w:sz w:val="20"/>
          <w:szCs w:val="20"/>
        </w:rPr>
      </w:pPr>
      <w:r>
        <w:rPr>
          <w:sz w:val="20"/>
          <w:szCs w:val="20"/>
        </w:rPr>
        <w:t xml:space="preserve">13) An ability to compare and contrast private sector and governmental responsibilities in the area of critical infrastructure/key resource identification and protection. </w:t>
      </w:r>
    </w:p>
    <w:p w:rsidR="000D02F3" w:rsidRDefault="000D02F3" w:rsidP="000D02F3">
      <w:pPr>
        <w:pStyle w:val="Default"/>
        <w:rPr>
          <w:sz w:val="20"/>
          <w:szCs w:val="20"/>
        </w:rPr>
      </w:pPr>
      <w:r>
        <w:rPr>
          <w:sz w:val="20"/>
          <w:szCs w:val="20"/>
        </w:rPr>
        <w:lastRenderedPageBreak/>
        <w:t xml:space="preserve">14) Identify and describe each mode of transportation and their responsible administrative authorities, threats to their security, and major legislative responses to transportation security threats including potential countermeasures to these security threats. </w:t>
      </w:r>
    </w:p>
    <w:p w:rsidR="000D02F3" w:rsidRDefault="000D02F3" w:rsidP="000D02F3">
      <w:pPr>
        <w:rPr>
          <w:b/>
          <w:bCs/>
        </w:rPr>
      </w:pPr>
    </w:p>
    <w:p w:rsidR="000D02F3" w:rsidRDefault="000D02F3" w:rsidP="000D02F3">
      <w:pPr>
        <w:pStyle w:val="Default"/>
        <w:rPr>
          <w:sz w:val="20"/>
          <w:szCs w:val="20"/>
        </w:rPr>
      </w:pPr>
      <w:r>
        <w:rPr>
          <w:b/>
          <w:bCs/>
          <w:sz w:val="20"/>
          <w:szCs w:val="20"/>
        </w:rPr>
        <w:t xml:space="preserve">CA6. Strategic Planning - </w:t>
      </w:r>
      <w:r>
        <w:rPr>
          <w:i/>
          <w:iCs/>
          <w:sz w:val="20"/>
          <w:szCs w:val="20"/>
        </w:rPr>
        <w:t xml:space="preserve">the process of defining an organization’s strategy (a long term plan of action designed to achieve a particular goal or objective) or direction and making decisions on allocating its resources to pursue this strategy, including its capital, its technology and its human resources. </w:t>
      </w:r>
    </w:p>
    <w:p w:rsidR="000D02F3" w:rsidRDefault="000D02F3" w:rsidP="000D02F3">
      <w:pPr>
        <w:pStyle w:val="Default"/>
        <w:spacing w:after="138"/>
        <w:rPr>
          <w:sz w:val="20"/>
          <w:szCs w:val="20"/>
        </w:rPr>
      </w:pPr>
      <w:r>
        <w:rPr>
          <w:sz w:val="20"/>
          <w:szCs w:val="20"/>
        </w:rPr>
        <w:t xml:space="preserve">15) An ability to demonstrate knowledge of applicable national strategies and plans, including their history, inter-relationships, similarities and differences. </w:t>
      </w:r>
    </w:p>
    <w:p w:rsidR="000D02F3" w:rsidRDefault="000D02F3" w:rsidP="000D02F3">
      <w:pPr>
        <w:pStyle w:val="Default"/>
        <w:spacing w:after="138"/>
        <w:rPr>
          <w:sz w:val="20"/>
          <w:szCs w:val="20"/>
        </w:rPr>
      </w:pPr>
      <w:r>
        <w:rPr>
          <w:sz w:val="20"/>
          <w:szCs w:val="20"/>
        </w:rPr>
        <w:t xml:space="preserve">16) An ability to demonstrate knowledge of the strategic planning interface between national, state, and local governments. </w:t>
      </w:r>
    </w:p>
    <w:p w:rsidR="000D02F3" w:rsidRDefault="000D02F3" w:rsidP="000D02F3">
      <w:pPr>
        <w:pStyle w:val="Default"/>
        <w:rPr>
          <w:sz w:val="20"/>
          <w:szCs w:val="20"/>
        </w:rPr>
      </w:pPr>
      <w:r>
        <w:rPr>
          <w:sz w:val="20"/>
          <w:szCs w:val="20"/>
        </w:rPr>
        <w:t xml:space="preserve">17) An ability to demonstrate knowledge of basic principles underlying strategic planning, and identify these principles as they apply to the National Strategy for homeland security. </w:t>
      </w:r>
    </w:p>
    <w:p w:rsidR="000D02F3" w:rsidRDefault="000D02F3" w:rsidP="000D02F3">
      <w:pPr>
        <w:pStyle w:val="Default"/>
        <w:rPr>
          <w:sz w:val="20"/>
          <w:szCs w:val="20"/>
        </w:rPr>
      </w:pPr>
    </w:p>
    <w:p w:rsidR="000D02F3" w:rsidRDefault="000D02F3" w:rsidP="000D02F3">
      <w:pPr>
        <w:pStyle w:val="Default"/>
        <w:rPr>
          <w:sz w:val="20"/>
          <w:szCs w:val="20"/>
        </w:rPr>
      </w:pPr>
      <w:r>
        <w:rPr>
          <w:b/>
          <w:bCs/>
          <w:sz w:val="20"/>
          <w:szCs w:val="20"/>
        </w:rPr>
        <w:t xml:space="preserve">CA7. Terrorism - </w:t>
      </w:r>
      <w:r>
        <w:rPr>
          <w:i/>
          <w:iCs/>
          <w:sz w:val="20"/>
          <w:szCs w:val="20"/>
        </w:rPr>
        <w:t xml:space="preserve">The threat of violence, individual acts of violence, or a campaign of violence designed primarily to instill fear. Terrorism is violence for effect: not only and sometimes not at all for the effect on the actual victims of the terrorists’ cause. Fear is the intended effect, not the by-product of terrorism. </w:t>
      </w:r>
    </w:p>
    <w:p w:rsidR="000D02F3" w:rsidRDefault="000D02F3" w:rsidP="000D02F3">
      <w:pPr>
        <w:pStyle w:val="Default"/>
        <w:spacing w:after="141"/>
        <w:rPr>
          <w:sz w:val="20"/>
          <w:szCs w:val="20"/>
        </w:rPr>
      </w:pPr>
      <w:r>
        <w:rPr>
          <w:sz w:val="20"/>
          <w:szCs w:val="20"/>
        </w:rPr>
        <w:t xml:space="preserve">18) An ability to demonstrate knowledge of the history and basic concepts of global terrorism to include groups, ideologies, and underlying causes. </w:t>
      </w:r>
    </w:p>
    <w:p w:rsidR="000D02F3" w:rsidRDefault="000D02F3" w:rsidP="000D02F3">
      <w:pPr>
        <w:pStyle w:val="Default"/>
        <w:spacing w:after="141"/>
        <w:rPr>
          <w:sz w:val="20"/>
          <w:szCs w:val="20"/>
        </w:rPr>
      </w:pPr>
      <w:r>
        <w:rPr>
          <w:sz w:val="20"/>
          <w:szCs w:val="20"/>
        </w:rPr>
        <w:t xml:space="preserve">19) An ability to demonstrate knowledge of specific types of terrorism (e.g., state-supported, transnational, domestic, international) including their similarities and differences. </w:t>
      </w:r>
    </w:p>
    <w:p w:rsidR="000D02F3" w:rsidRDefault="000D02F3" w:rsidP="000D02F3">
      <w:pPr>
        <w:pStyle w:val="Default"/>
        <w:rPr>
          <w:sz w:val="20"/>
          <w:szCs w:val="20"/>
        </w:rPr>
      </w:pPr>
      <w:r>
        <w:rPr>
          <w:sz w:val="20"/>
          <w:szCs w:val="20"/>
        </w:rPr>
        <w:t xml:space="preserve">20) An ability to demonstrate knowledge of the conceptual aspects of counter-terrorism, counter-terrorist activities, and outcomes and be able to identify and describe examples of these concepts. </w:t>
      </w:r>
    </w:p>
    <w:p w:rsidR="000D02F3" w:rsidRDefault="000D02F3" w:rsidP="000D02F3">
      <w:pPr>
        <w:pStyle w:val="Default"/>
        <w:rPr>
          <w:sz w:val="20"/>
          <w:szCs w:val="20"/>
        </w:rPr>
      </w:pPr>
    </w:p>
    <w:p w:rsidR="000D02F3" w:rsidRDefault="000D02F3" w:rsidP="000D02F3">
      <w:pPr>
        <w:pStyle w:val="Default"/>
        <w:rPr>
          <w:sz w:val="20"/>
          <w:szCs w:val="20"/>
        </w:rPr>
      </w:pPr>
      <w:r>
        <w:rPr>
          <w:b/>
          <w:bCs/>
          <w:sz w:val="20"/>
          <w:szCs w:val="20"/>
        </w:rPr>
        <w:t xml:space="preserve">CA8. Strategic Communication – </w:t>
      </w:r>
      <w:r>
        <w:rPr>
          <w:i/>
          <w:iCs/>
          <w:sz w:val="20"/>
          <w:szCs w:val="20"/>
        </w:rPr>
        <w:t xml:space="preserve">An effects-based approach of synchronized themes and messages designed to enable the implementation of the national elements of power; to include but limited to diplomatic, intelligence, military, economic, financial, information and law enforcement, toward the accomplishment of national and homeland security objectives. </w:t>
      </w:r>
    </w:p>
    <w:p w:rsidR="000D02F3" w:rsidRDefault="000D02F3" w:rsidP="000D02F3">
      <w:pPr>
        <w:pStyle w:val="Default"/>
        <w:spacing w:after="141"/>
        <w:rPr>
          <w:sz w:val="20"/>
          <w:szCs w:val="20"/>
        </w:rPr>
      </w:pPr>
      <w:r>
        <w:rPr>
          <w:sz w:val="20"/>
          <w:szCs w:val="20"/>
        </w:rPr>
        <w:t xml:space="preserve">21) An understanding of interagency communications </w:t>
      </w:r>
      <w:proofErr w:type="gramStart"/>
      <w:r>
        <w:rPr>
          <w:sz w:val="20"/>
          <w:szCs w:val="20"/>
        </w:rPr>
        <w:t>needs,</w:t>
      </w:r>
      <w:proofErr w:type="gramEnd"/>
      <w:r>
        <w:rPr>
          <w:sz w:val="20"/>
          <w:szCs w:val="20"/>
        </w:rPr>
        <w:t xml:space="preserve"> methods and processes. </w:t>
      </w:r>
    </w:p>
    <w:p w:rsidR="000D02F3" w:rsidRDefault="000D02F3" w:rsidP="000D02F3">
      <w:pPr>
        <w:pStyle w:val="Default"/>
        <w:spacing w:after="141"/>
        <w:rPr>
          <w:sz w:val="20"/>
          <w:szCs w:val="20"/>
        </w:rPr>
      </w:pPr>
      <w:r>
        <w:rPr>
          <w:sz w:val="20"/>
          <w:szCs w:val="20"/>
        </w:rPr>
        <w:t xml:space="preserve">22) An ability to compose and deliver professional reports, presentations and briefings in order to develop and refine analytical abilities and to demonstrate effective oral and written communication skills. </w:t>
      </w:r>
    </w:p>
    <w:p w:rsidR="000D02F3" w:rsidRDefault="000D02F3" w:rsidP="000D02F3">
      <w:pPr>
        <w:pStyle w:val="Default"/>
        <w:rPr>
          <w:sz w:val="20"/>
          <w:szCs w:val="20"/>
        </w:rPr>
      </w:pPr>
      <w:r>
        <w:rPr>
          <w:sz w:val="20"/>
          <w:szCs w:val="20"/>
        </w:rPr>
        <w:t xml:space="preserve">23) An understanding of the national instruments of power and their role in communication and homeland security structures and agencies. </w:t>
      </w:r>
    </w:p>
    <w:p w:rsidR="003841CF" w:rsidRDefault="003841CF" w:rsidP="00671126"/>
    <w:p w:rsidR="003841CF" w:rsidRDefault="003841CF" w:rsidP="00671126"/>
    <w:p w:rsidR="000D02F3" w:rsidRDefault="000D02F3" w:rsidP="000D02F3">
      <w:pPr>
        <w:rPr>
          <w:b/>
          <w:bCs/>
        </w:rPr>
      </w:pPr>
      <w:r w:rsidRPr="002067A6">
        <w:rPr>
          <w:b/>
          <w:bCs/>
        </w:rPr>
        <w:t>Curriculum</w:t>
      </w:r>
      <w:r>
        <w:rPr>
          <w:b/>
          <w:bCs/>
        </w:rPr>
        <w:t xml:space="preserve"> (</w:t>
      </w:r>
      <w:r w:rsidR="00997519">
        <w:rPr>
          <w:b/>
          <w:bCs/>
        </w:rPr>
        <w:t>9 credit hour non-</w:t>
      </w:r>
      <w:proofErr w:type="spellStart"/>
      <w:r w:rsidR="00997519">
        <w:rPr>
          <w:b/>
          <w:bCs/>
        </w:rPr>
        <w:t>transcripted</w:t>
      </w:r>
      <w:proofErr w:type="spellEnd"/>
      <w:r w:rsidR="00997519">
        <w:rPr>
          <w:b/>
          <w:bCs/>
        </w:rPr>
        <w:t xml:space="preserve"> Certificate, </w:t>
      </w:r>
      <w:r>
        <w:rPr>
          <w:b/>
          <w:bCs/>
        </w:rPr>
        <w:t>18 credit hour Minor)</w:t>
      </w:r>
    </w:p>
    <w:p w:rsidR="000D02F3" w:rsidRDefault="000D02F3" w:rsidP="000D02F3">
      <w:pPr>
        <w:ind w:left="360"/>
        <w:rPr>
          <w:bCs/>
          <w:i/>
        </w:rPr>
      </w:pPr>
    </w:p>
    <w:p w:rsidR="00997519" w:rsidRDefault="00997519" w:rsidP="000D02F3">
      <w:pPr>
        <w:rPr>
          <w:bCs/>
        </w:rPr>
      </w:pPr>
      <w:r>
        <w:rPr>
          <w:bCs/>
        </w:rPr>
        <w:t>Students will receive, upon the completion of POLSC 270-272, a non-</w:t>
      </w:r>
      <w:proofErr w:type="spellStart"/>
      <w:r>
        <w:rPr>
          <w:bCs/>
        </w:rPr>
        <w:t>transcripted</w:t>
      </w:r>
      <w:proofErr w:type="spellEnd"/>
      <w:r>
        <w:rPr>
          <w:bCs/>
        </w:rPr>
        <w:t xml:space="preserve"> Certificate in Homeland Security Studies that is awarded by the Political Science </w:t>
      </w:r>
      <w:r>
        <w:rPr>
          <w:bCs/>
        </w:rPr>
        <w:lastRenderedPageBreak/>
        <w:t xml:space="preserve">Program, which also independently maintains student records for this award. The three courses for the Certificate correspond to the state-approved curriculum adopted by UCCS for its homeland security certificate program.  </w:t>
      </w:r>
    </w:p>
    <w:p w:rsidR="00997519" w:rsidRDefault="00997519" w:rsidP="000D02F3">
      <w:pPr>
        <w:rPr>
          <w:bCs/>
        </w:rPr>
      </w:pPr>
    </w:p>
    <w:p w:rsidR="000D02F3" w:rsidRDefault="000D02F3" w:rsidP="000D02F3">
      <w:pPr>
        <w:rPr>
          <w:bCs/>
        </w:rPr>
      </w:pPr>
      <w:r>
        <w:rPr>
          <w:bCs/>
        </w:rPr>
        <w:t>Required courses designed to incorporate designated core outcomes (SLOs):</w:t>
      </w:r>
    </w:p>
    <w:p w:rsidR="000D02F3" w:rsidRDefault="000D02F3" w:rsidP="000D02F3">
      <w:pPr>
        <w:ind w:left="540"/>
        <w:rPr>
          <w:bCs/>
        </w:rPr>
      </w:pPr>
    </w:p>
    <w:p w:rsidR="000D02F3" w:rsidRDefault="000D02F3" w:rsidP="000D02F3">
      <w:pPr>
        <w:ind w:left="540"/>
        <w:rPr>
          <w:bCs/>
        </w:rPr>
      </w:pPr>
      <w:r>
        <w:rPr>
          <w:bCs/>
        </w:rPr>
        <w:t xml:space="preserve">1. </w:t>
      </w:r>
      <w:r w:rsidRPr="00F85692">
        <w:rPr>
          <w:bCs/>
          <w:i/>
        </w:rPr>
        <w:t>Introduction to Homeland Security</w:t>
      </w:r>
      <w:r>
        <w:rPr>
          <w:bCs/>
        </w:rPr>
        <w:t>, (POLSC 270) 3 credits</w:t>
      </w:r>
    </w:p>
    <w:p w:rsidR="000D02F3" w:rsidRDefault="000D02F3" w:rsidP="000D02F3">
      <w:pPr>
        <w:ind w:left="540"/>
        <w:rPr>
          <w:bCs/>
        </w:rPr>
      </w:pPr>
      <w:proofErr w:type="gramStart"/>
      <w:r>
        <w:rPr>
          <w:bCs/>
        </w:rPr>
        <w:t>An overview of homeland security and key threats and responses.</w:t>
      </w:r>
      <w:proofErr w:type="gramEnd"/>
      <w:r>
        <w:rPr>
          <w:bCs/>
        </w:rPr>
        <w:t xml:space="preserve"> Major topics addressed include the structure of the Department of Homeland Security and its relation to member, state, and local agencies; strategic and military approaches to countering threats; legal elements; and the role of government-private sector partnerships.</w:t>
      </w:r>
    </w:p>
    <w:p w:rsidR="000D02F3" w:rsidRDefault="000D02F3" w:rsidP="000D02F3">
      <w:pPr>
        <w:ind w:left="360"/>
        <w:rPr>
          <w:bCs/>
        </w:rPr>
      </w:pPr>
    </w:p>
    <w:p w:rsidR="000D02F3" w:rsidRDefault="000D02F3" w:rsidP="000D02F3">
      <w:pPr>
        <w:ind w:firstLine="540"/>
        <w:rPr>
          <w:bCs/>
        </w:rPr>
      </w:pPr>
      <w:r>
        <w:rPr>
          <w:bCs/>
        </w:rPr>
        <w:t xml:space="preserve">2. </w:t>
      </w:r>
      <w:r w:rsidRPr="00F85692">
        <w:rPr>
          <w:bCs/>
          <w:i/>
        </w:rPr>
        <w:t>Terrorism</w:t>
      </w:r>
      <w:proofErr w:type="gramStart"/>
      <w:r>
        <w:rPr>
          <w:bCs/>
        </w:rPr>
        <w:t>,  (</w:t>
      </w:r>
      <w:proofErr w:type="gramEnd"/>
      <w:r>
        <w:rPr>
          <w:bCs/>
        </w:rPr>
        <w:t>POLSC 271) 3 credits</w:t>
      </w:r>
    </w:p>
    <w:p w:rsidR="000D02F3" w:rsidRDefault="000D02F3" w:rsidP="000D02F3">
      <w:pPr>
        <w:ind w:left="630"/>
        <w:rPr>
          <w:bCs/>
        </w:rPr>
      </w:pPr>
      <w:proofErr w:type="gramStart"/>
      <w:r>
        <w:rPr>
          <w:bCs/>
        </w:rPr>
        <w:t>An examination of extremist groups and private violence in the context of domestic monitoring, prevention, and response.</w:t>
      </w:r>
      <w:proofErr w:type="gramEnd"/>
      <w:r>
        <w:rPr>
          <w:bCs/>
        </w:rPr>
        <w:t xml:space="preserve"> Areas of emphasis will include recruitment and law enforcement vs. military approaches to counter-terrorism.</w:t>
      </w:r>
    </w:p>
    <w:p w:rsidR="000D02F3" w:rsidRDefault="000D02F3" w:rsidP="000D02F3">
      <w:pPr>
        <w:ind w:left="630"/>
        <w:rPr>
          <w:bCs/>
        </w:rPr>
      </w:pPr>
    </w:p>
    <w:p w:rsidR="000D02F3" w:rsidRDefault="000D02F3" w:rsidP="000D02F3">
      <w:pPr>
        <w:ind w:left="630"/>
        <w:rPr>
          <w:bCs/>
        </w:rPr>
      </w:pPr>
      <w:r>
        <w:rPr>
          <w:bCs/>
        </w:rPr>
        <w:t xml:space="preserve">3. </w:t>
      </w:r>
      <w:r w:rsidRPr="00F85692">
        <w:rPr>
          <w:bCs/>
          <w:i/>
        </w:rPr>
        <w:t>Critical Incident Management</w:t>
      </w:r>
      <w:r>
        <w:rPr>
          <w:bCs/>
        </w:rPr>
        <w:t>, (POLSC 272) 3 credits</w:t>
      </w:r>
    </w:p>
    <w:p w:rsidR="000D02F3" w:rsidRDefault="000D02F3" w:rsidP="000D02F3">
      <w:pPr>
        <w:ind w:left="630"/>
        <w:rPr>
          <w:bCs/>
        </w:rPr>
      </w:pPr>
      <w:proofErr w:type="gramStart"/>
      <w:r>
        <w:rPr>
          <w:bCs/>
        </w:rPr>
        <w:t>The policies and practices of local first responders, inter-agency    relationships, specific threats including infrastructure failure, natural disasters, political violence, and unconventional weapons.</w:t>
      </w:r>
      <w:proofErr w:type="gramEnd"/>
    </w:p>
    <w:p w:rsidR="000D02F3" w:rsidRDefault="000D02F3" w:rsidP="000D02F3">
      <w:pPr>
        <w:rPr>
          <w:bCs/>
        </w:rPr>
      </w:pPr>
    </w:p>
    <w:p w:rsidR="000D02F3" w:rsidRPr="00E2160B" w:rsidRDefault="000D02F3" w:rsidP="000D02F3">
      <w:pPr>
        <w:ind w:left="630"/>
      </w:pPr>
      <w:r w:rsidRPr="00E2160B">
        <w:t>4.</w:t>
      </w:r>
      <w:r>
        <w:rPr>
          <w:b/>
        </w:rPr>
        <w:t xml:space="preserve"> </w:t>
      </w:r>
      <w:r w:rsidRPr="00E2160B">
        <w:t>Intelligence and National Security (POLSC 373)</w:t>
      </w:r>
      <w:r>
        <w:t xml:space="preserve"> 3 credits</w:t>
      </w:r>
    </w:p>
    <w:p w:rsidR="000D02F3" w:rsidRDefault="000D02F3" w:rsidP="000D02F3">
      <w:pPr>
        <w:ind w:left="630"/>
      </w:pPr>
      <w:r>
        <w:t xml:space="preserve">How does the Intelligence community operate and what is its role in homeland security? This course examines inter-agency relations as well as practical and political elements of domestic intelligence-gathering. </w:t>
      </w:r>
    </w:p>
    <w:p w:rsidR="000D02F3" w:rsidRDefault="000D02F3" w:rsidP="000D02F3">
      <w:pPr>
        <w:ind w:left="630"/>
        <w:rPr>
          <w:bCs/>
        </w:rPr>
      </w:pPr>
    </w:p>
    <w:p w:rsidR="000D02F3" w:rsidRPr="00E2160B" w:rsidRDefault="000D02F3" w:rsidP="000D02F3">
      <w:pPr>
        <w:ind w:left="630"/>
      </w:pPr>
      <w:r w:rsidRPr="00E2160B">
        <w:t>5. Homeland Security and the Law</w:t>
      </w:r>
      <w:r>
        <w:t xml:space="preserve"> (POLSC 374) 3 credits</w:t>
      </w:r>
    </w:p>
    <w:p w:rsidR="000D02F3" w:rsidRPr="00C25BC6" w:rsidRDefault="000D02F3" w:rsidP="000D02F3">
      <w:pPr>
        <w:ind w:left="630"/>
      </w:pPr>
      <w:r>
        <w:t xml:space="preserve">This course explores the legal and constitutional aspects of homeland security and homeland defense. Topics include appropriate role of civil </w:t>
      </w:r>
      <w:proofErr w:type="gramStart"/>
      <w:r>
        <w:t>liberties,</w:t>
      </w:r>
      <w:proofErr w:type="gramEnd"/>
      <w:r>
        <w:t xml:space="preserve"> and sources of authority and constraint for practitioners.</w:t>
      </w:r>
    </w:p>
    <w:p w:rsidR="000D02F3" w:rsidRDefault="000D02F3" w:rsidP="000D02F3">
      <w:pPr>
        <w:ind w:left="630"/>
        <w:rPr>
          <w:bCs/>
        </w:rPr>
      </w:pPr>
    </w:p>
    <w:p w:rsidR="000D02F3" w:rsidRPr="00E2160B" w:rsidRDefault="000D02F3" w:rsidP="000D02F3">
      <w:pPr>
        <w:ind w:left="630"/>
        <w:rPr>
          <w:bCs/>
        </w:rPr>
      </w:pPr>
      <w:r w:rsidRPr="00E2160B">
        <w:rPr>
          <w:bCs/>
        </w:rPr>
        <w:t>6. Threat and Strategic Planning</w:t>
      </w:r>
      <w:r>
        <w:rPr>
          <w:bCs/>
        </w:rPr>
        <w:t xml:space="preserve"> (POLSC 375) 3 credits</w:t>
      </w:r>
    </w:p>
    <w:p w:rsidR="000D02F3" w:rsidRPr="00B520E8" w:rsidRDefault="000D02F3" w:rsidP="000D02F3">
      <w:pPr>
        <w:ind w:left="630"/>
        <w:rPr>
          <w:bCs/>
        </w:rPr>
      </w:pPr>
      <w:r>
        <w:rPr>
          <w:bCs/>
        </w:rPr>
        <w:t>Topics include the development of threat assessment and planning, public-private sector resource partnering, and crisis communications.</w:t>
      </w:r>
    </w:p>
    <w:p w:rsidR="00671126" w:rsidRDefault="00671126" w:rsidP="00671126"/>
    <w:p w:rsidR="000D02F3" w:rsidRPr="001D631D" w:rsidRDefault="000D02F3" w:rsidP="000D02F3">
      <w:pPr>
        <w:rPr>
          <w:rFonts w:cs="Times New Roman"/>
        </w:rPr>
      </w:pPr>
      <w:r>
        <w:rPr>
          <w:rFonts w:cs="Times New Roman"/>
        </w:rPr>
        <w:t>See attached curriculum map for relation of curriculum to outcomes</w:t>
      </w:r>
    </w:p>
    <w:p w:rsidR="000D02F3" w:rsidRDefault="000D02F3" w:rsidP="00671126"/>
    <w:p w:rsidR="000D02F3" w:rsidRDefault="000D02F3" w:rsidP="00671126"/>
    <w:p w:rsidR="00671126" w:rsidRDefault="00FF7D30" w:rsidP="00C10537">
      <w:pPr>
        <w:rPr>
          <w:rFonts w:ascii="Calibri Bold" w:hAnsi="Calibri Bold"/>
        </w:rPr>
      </w:pPr>
      <w:r>
        <w:rPr>
          <w:rFonts w:ascii="Calibri Bold" w:hAnsi="Calibri Bold"/>
        </w:rPr>
        <w:t>Assessment Methods and Results</w:t>
      </w:r>
    </w:p>
    <w:p w:rsidR="00FF7D30" w:rsidRDefault="00FF7D30" w:rsidP="00C10537">
      <w:pPr>
        <w:rPr>
          <w:rFonts w:ascii="Calibri Bold" w:hAnsi="Calibri Bold"/>
        </w:rPr>
      </w:pPr>
    </w:p>
    <w:p w:rsidR="00FF7D30" w:rsidRPr="001D631D" w:rsidRDefault="00FF7D30" w:rsidP="00FF7D30">
      <w:pPr>
        <w:rPr>
          <w:rFonts w:cs="Times New Roman"/>
        </w:rPr>
      </w:pPr>
      <w:r>
        <w:t xml:space="preserve">Program </w:t>
      </w:r>
      <w:proofErr w:type="gramStart"/>
      <w:r>
        <w:t>faculty are</w:t>
      </w:r>
      <w:proofErr w:type="gramEnd"/>
      <w:r>
        <w:t xml:space="preserve"> primarily adjunct instructors with professional training in relevant fields. The CSHS Director meets annually with faculty to compare intended </w:t>
      </w:r>
      <w:r>
        <w:lastRenderedPageBreak/>
        <w:t xml:space="preserve">learning outcomes with student performances in each of the six program courses (all offered annually). In addition to faculty assessments, in-class written evaluations are collected from all students on the final day of class. </w:t>
      </w:r>
      <w:r>
        <w:rPr>
          <w:rFonts w:cs="Times New Roman"/>
        </w:rPr>
        <w:t xml:space="preserve">Course and program curricula </w:t>
      </w:r>
      <w:r w:rsidRPr="001D631D">
        <w:rPr>
          <w:rFonts w:cs="Times New Roman"/>
        </w:rPr>
        <w:t>are</w:t>
      </w:r>
      <w:r>
        <w:rPr>
          <w:rFonts w:cs="Times New Roman"/>
        </w:rPr>
        <w:t xml:space="preserve"> reviewed to evaluate</w:t>
      </w:r>
      <w:r w:rsidRPr="000C080C">
        <w:rPr>
          <w:rFonts w:cs="Times New Roman"/>
        </w:rPr>
        <w:t xml:space="preserve"> </w:t>
      </w:r>
      <w:r>
        <w:rPr>
          <w:rFonts w:cs="Times New Roman"/>
        </w:rPr>
        <w:t>alignment of</w:t>
      </w:r>
      <w:r w:rsidRPr="000C080C">
        <w:rPr>
          <w:rFonts w:cs="Times New Roman"/>
        </w:rPr>
        <w:t xml:space="preserve"> individual course goals, content, and instructional methods with the overall program goals and outcomes.  </w:t>
      </w:r>
      <w:r>
        <w:rPr>
          <w:rFonts w:cs="Times New Roman"/>
        </w:rPr>
        <w:t>T</w:t>
      </w:r>
      <w:r w:rsidRPr="001D631D">
        <w:rPr>
          <w:rFonts w:cs="Times New Roman"/>
        </w:rPr>
        <w:t xml:space="preserve">he program coordinator </w:t>
      </w:r>
      <w:r>
        <w:rPr>
          <w:rFonts w:cs="Times New Roman"/>
        </w:rPr>
        <w:t xml:space="preserve">then </w:t>
      </w:r>
      <w:r w:rsidRPr="001D631D">
        <w:rPr>
          <w:rFonts w:cs="Times New Roman"/>
        </w:rPr>
        <w:t xml:space="preserve">submits a report of the assessment findings, as well as any related action plans, to the chair of </w:t>
      </w:r>
      <w:r>
        <w:rPr>
          <w:rFonts w:cs="Times New Roman"/>
        </w:rPr>
        <w:t xml:space="preserve">the Department of History and </w:t>
      </w:r>
      <w:r w:rsidRPr="001D631D">
        <w:rPr>
          <w:rFonts w:cs="Times New Roman"/>
        </w:rPr>
        <w:t>Pol</w:t>
      </w:r>
      <w:r>
        <w:rPr>
          <w:rFonts w:cs="Times New Roman"/>
        </w:rPr>
        <w:t>itical Science and the Political Science Program coordinator, as well as the Assistant Provost for Assessment and Student Learning</w:t>
      </w:r>
      <w:r w:rsidRPr="001D631D">
        <w:rPr>
          <w:rFonts w:cs="Times New Roman"/>
        </w:rPr>
        <w:t xml:space="preserve">.  The </w:t>
      </w:r>
      <w:r>
        <w:rPr>
          <w:rFonts w:cs="Times New Roman"/>
        </w:rPr>
        <w:t>CSHS director</w:t>
      </w:r>
      <w:r w:rsidRPr="001D631D">
        <w:rPr>
          <w:rFonts w:cs="Times New Roman"/>
        </w:rPr>
        <w:t xml:space="preserve"> holds primary responsibility for ongoing program assessment activities as well as </w:t>
      </w:r>
      <w:r>
        <w:rPr>
          <w:rFonts w:cs="Times New Roman"/>
        </w:rPr>
        <w:t xml:space="preserve">for </w:t>
      </w:r>
      <w:r w:rsidRPr="001D631D">
        <w:rPr>
          <w:rFonts w:cs="Times New Roman"/>
        </w:rPr>
        <w:t>revision of the plan itself.</w:t>
      </w:r>
    </w:p>
    <w:p w:rsidR="00FF7D30" w:rsidRPr="00FF7D30" w:rsidRDefault="00FF7D30" w:rsidP="00FF7D30"/>
    <w:p w:rsidR="00801C68" w:rsidRDefault="00801C68" w:rsidP="00156215">
      <w:r>
        <w:t xml:space="preserve">Assessment will be conducted via written assignments and in-class presentations. Students will be expected to present key findings on best practices in published literature and cases histories, apply theoretical concepts to current events and case studies, and to demonstrate pre-professional skills in developing effective written and live presentations.  </w:t>
      </w:r>
    </w:p>
    <w:p w:rsidR="00801C68" w:rsidRDefault="00801C68" w:rsidP="00156215"/>
    <w:p w:rsidR="00CB02F7" w:rsidRPr="00156215" w:rsidRDefault="00156215" w:rsidP="00156215">
      <w:r>
        <w:t xml:space="preserve">Within the parameters of national accreditation standards, students must be minimally proficient in all core areas to receive the degree or certification that connote pre-professional competence. To obtain the Minor students must successfully complete all six courses with the Political Science departmental standard of a grade of C or better. </w:t>
      </w:r>
      <w:r w:rsidR="00AC3AC7">
        <w:t xml:space="preserve">Students will not pass key courses for certification without demonstrating proficiency. </w:t>
      </w:r>
      <w:proofErr w:type="gramStart"/>
      <w:r w:rsidR="00AC3AC7">
        <w:t>After the Minor enters the Catalog next year, accurate data will become available for student proficiency rates.</w:t>
      </w:r>
      <w:proofErr w:type="gramEnd"/>
      <w:r w:rsidR="00AC3AC7">
        <w:t xml:space="preserve"> </w:t>
      </w:r>
    </w:p>
    <w:p w:rsidR="00156215" w:rsidRDefault="00156215" w:rsidP="001504B3">
      <w:pPr>
        <w:rPr>
          <w:rFonts w:cs="Times New Roman"/>
        </w:rPr>
      </w:pPr>
      <w:bookmarkStart w:id="0" w:name="_GoBack"/>
      <w:bookmarkEnd w:id="0"/>
    </w:p>
    <w:p w:rsidR="00AC3AC7" w:rsidRDefault="00AC3AC7" w:rsidP="001504B3">
      <w:pPr>
        <w:rPr>
          <w:rFonts w:cs="Times New Roman"/>
        </w:rPr>
      </w:pPr>
      <w:r>
        <w:rPr>
          <w:rFonts w:cs="Times New Roman"/>
        </w:rPr>
        <w:t>The CSHS director will meet with course instructors at least once per semester to determine whether changes should be made to individual course syllabi based on student learning outcome results. The director will discuss assessment data at scheduled semester Political Science Program meetings for analysis and recommendations.</w:t>
      </w:r>
    </w:p>
    <w:p w:rsidR="00AC3AC7" w:rsidRDefault="00AC3AC7" w:rsidP="001504B3">
      <w:pPr>
        <w:rPr>
          <w:rFonts w:cs="Times New Roman"/>
        </w:rPr>
      </w:pPr>
    </w:p>
    <w:p w:rsidR="00671126" w:rsidRDefault="00E5577E" w:rsidP="001504B3">
      <w:pPr>
        <w:rPr>
          <w:rFonts w:cs="Times New Roman"/>
        </w:rPr>
      </w:pPr>
      <w:r w:rsidRPr="001D631D">
        <w:rPr>
          <w:rFonts w:cs="Times New Roman"/>
        </w:rPr>
        <w:t xml:space="preserve">To inform the public and the university community at large, written accounts of current program goals, </w:t>
      </w:r>
      <w:r w:rsidR="00EB4F60" w:rsidRPr="001D631D">
        <w:rPr>
          <w:rFonts w:cs="Times New Roman"/>
        </w:rPr>
        <w:t>expected student</w:t>
      </w:r>
      <w:r w:rsidRPr="001D631D">
        <w:rPr>
          <w:rFonts w:cs="Times New Roman"/>
        </w:rPr>
        <w:t xml:space="preserve"> outcomes, and assessment activities are published in the Colorado State University-Pueblo Catalog.  </w:t>
      </w:r>
      <w:r w:rsidR="00075159" w:rsidRPr="001D631D">
        <w:rPr>
          <w:rFonts w:cs="Times New Roman"/>
        </w:rPr>
        <w:t xml:space="preserve">The </w:t>
      </w:r>
      <w:r w:rsidR="00671126">
        <w:rPr>
          <w:rFonts w:cs="Times New Roman"/>
        </w:rPr>
        <w:t>CSHS Director</w:t>
      </w:r>
      <w:r w:rsidR="00075159" w:rsidRPr="001D631D">
        <w:rPr>
          <w:rFonts w:cs="Times New Roman"/>
        </w:rPr>
        <w:t xml:space="preserve"> will provide p</w:t>
      </w:r>
      <w:r w:rsidRPr="001D631D">
        <w:rPr>
          <w:rFonts w:cs="Times New Roman"/>
        </w:rPr>
        <w:t>rogram faculty with written copies of the goals, outcomes</w:t>
      </w:r>
      <w:r w:rsidR="00075159" w:rsidRPr="001D631D">
        <w:rPr>
          <w:rFonts w:cs="Times New Roman"/>
        </w:rPr>
        <w:t>,</w:t>
      </w:r>
      <w:r w:rsidRPr="001D631D">
        <w:rPr>
          <w:rFonts w:cs="Times New Roman"/>
        </w:rPr>
        <w:t xml:space="preserve"> and curriculum map.</w:t>
      </w:r>
      <w:r w:rsidR="002C1EEC" w:rsidRPr="001D631D">
        <w:rPr>
          <w:rFonts w:cs="Times New Roman"/>
        </w:rPr>
        <w:t xml:space="preserve"> </w:t>
      </w:r>
      <w:r w:rsidR="000D02F3">
        <w:rPr>
          <w:rFonts w:cs="Times New Roman"/>
        </w:rPr>
        <w:t xml:space="preserve"> </w:t>
      </w:r>
      <w:r w:rsidR="00671126">
        <w:rPr>
          <w:rFonts w:cs="Times New Roman"/>
        </w:rPr>
        <w:t>Descriptions of program activities are provided prior to the awarding of Certificates at the annual Political Science Forum.</w:t>
      </w:r>
    </w:p>
    <w:p w:rsidR="00240522" w:rsidRPr="001D631D" w:rsidRDefault="00240522" w:rsidP="001504B3">
      <w:pPr>
        <w:rPr>
          <w:rFonts w:cs="Times New Roman"/>
        </w:rPr>
      </w:pPr>
    </w:p>
    <w:p w:rsidR="00406361" w:rsidRDefault="00406361" w:rsidP="00C10537">
      <w:pPr>
        <w:rPr>
          <w:rFonts w:ascii="Calibri Bold" w:hAnsi="Calibri Bold"/>
          <w:b/>
        </w:rPr>
      </w:pPr>
    </w:p>
    <w:p w:rsidR="00406361" w:rsidRDefault="00406361" w:rsidP="00C10537">
      <w:pPr>
        <w:rPr>
          <w:rFonts w:ascii="Calibri Bold" w:hAnsi="Calibri Bold"/>
          <w:b/>
        </w:rPr>
      </w:pPr>
    </w:p>
    <w:p w:rsidR="00406361" w:rsidRDefault="00406361" w:rsidP="00C10537">
      <w:pPr>
        <w:rPr>
          <w:rFonts w:ascii="Calibri Bold" w:hAnsi="Calibri Bold"/>
          <w:b/>
        </w:rPr>
      </w:pPr>
    </w:p>
    <w:p w:rsidR="00406361" w:rsidRDefault="00406361" w:rsidP="00C10537">
      <w:pPr>
        <w:rPr>
          <w:rFonts w:ascii="Calibri Bold" w:hAnsi="Calibri Bold"/>
          <w:b/>
        </w:rPr>
      </w:pPr>
    </w:p>
    <w:p w:rsidR="00406361" w:rsidRDefault="00406361" w:rsidP="00C10537">
      <w:pPr>
        <w:rPr>
          <w:rFonts w:ascii="Calibri Bold" w:hAnsi="Calibri Bold"/>
          <w:b/>
        </w:rPr>
      </w:pPr>
    </w:p>
    <w:p w:rsidR="00406361" w:rsidRDefault="00406361" w:rsidP="00C10537">
      <w:pPr>
        <w:rPr>
          <w:rFonts w:ascii="Calibri Bold" w:hAnsi="Calibri Bold"/>
          <w:b/>
        </w:rPr>
      </w:pPr>
    </w:p>
    <w:p w:rsidR="00C7325B" w:rsidRDefault="00406361" w:rsidP="00C10537">
      <w:pPr>
        <w:rPr>
          <w:rFonts w:ascii="Calibri Bold" w:hAnsi="Calibri Bold"/>
          <w:b/>
        </w:rPr>
      </w:pPr>
      <w:r>
        <w:rPr>
          <w:rFonts w:ascii="Calibri Bold" w:hAnsi="Calibri Bold"/>
          <w:b/>
        </w:rPr>
        <w:lastRenderedPageBreak/>
        <w:t>Curriculum Map</w:t>
      </w:r>
    </w:p>
    <w:p w:rsidR="00406361" w:rsidRDefault="00406361" w:rsidP="00C10537">
      <w:pPr>
        <w:rPr>
          <w:rFonts w:ascii="Calibri Bold" w:hAnsi="Calibri Bold"/>
          <w:b/>
        </w:rPr>
      </w:pPr>
    </w:p>
    <w:tbl>
      <w:tblPr>
        <w:tblStyle w:val="TableGrid"/>
        <w:tblW w:w="0" w:type="auto"/>
        <w:jc w:val="center"/>
        <w:tblLook w:val="04A0"/>
      </w:tblPr>
      <w:tblGrid>
        <w:gridCol w:w="2592"/>
        <w:gridCol w:w="936"/>
        <w:gridCol w:w="1080"/>
        <w:gridCol w:w="1080"/>
      </w:tblGrid>
      <w:tr w:rsidR="00406361" w:rsidTr="00417B1D">
        <w:trPr>
          <w:jc w:val="center"/>
        </w:trPr>
        <w:tc>
          <w:tcPr>
            <w:tcW w:w="2592" w:type="dxa"/>
          </w:tcPr>
          <w:p w:rsidR="00406361" w:rsidRDefault="00406361" w:rsidP="00417B1D">
            <w:pPr>
              <w:jc w:val="center"/>
            </w:pPr>
            <w:r>
              <w:t>Homeland Security</w:t>
            </w:r>
          </w:p>
          <w:p w:rsidR="00406361" w:rsidRDefault="00406361" w:rsidP="00417B1D">
            <w:pPr>
              <w:jc w:val="center"/>
            </w:pPr>
            <w:r>
              <w:t>Certificate</w:t>
            </w:r>
          </w:p>
        </w:tc>
        <w:tc>
          <w:tcPr>
            <w:tcW w:w="936" w:type="dxa"/>
          </w:tcPr>
          <w:p w:rsidR="00406361" w:rsidRDefault="00406361" w:rsidP="00417B1D">
            <w:pPr>
              <w:jc w:val="center"/>
            </w:pPr>
            <w:r>
              <w:t>270</w:t>
            </w:r>
          </w:p>
        </w:tc>
        <w:tc>
          <w:tcPr>
            <w:tcW w:w="1080" w:type="dxa"/>
          </w:tcPr>
          <w:p w:rsidR="00406361" w:rsidRDefault="00406361" w:rsidP="00417B1D">
            <w:pPr>
              <w:jc w:val="center"/>
            </w:pPr>
            <w:r>
              <w:t>271</w:t>
            </w:r>
          </w:p>
        </w:tc>
        <w:tc>
          <w:tcPr>
            <w:tcW w:w="1080" w:type="dxa"/>
          </w:tcPr>
          <w:p w:rsidR="00406361" w:rsidRDefault="00406361" w:rsidP="00417B1D">
            <w:pPr>
              <w:jc w:val="center"/>
            </w:pPr>
            <w:r>
              <w:t>272</w:t>
            </w:r>
          </w:p>
        </w:tc>
      </w:tr>
      <w:tr w:rsidR="00406361" w:rsidTr="00417B1D">
        <w:trPr>
          <w:jc w:val="center"/>
        </w:trPr>
        <w:tc>
          <w:tcPr>
            <w:tcW w:w="2592" w:type="dxa"/>
          </w:tcPr>
          <w:p w:rsidR="00406361" w:rsidRPr="008040B8" w:rsidRDefault="00406361" w:rsidP="00417B1D">
            <w:pPr>
              <w:pStyle w:val="Default"/>
              <w:spacing w:after="138"/>
              <w:jc w:val="center"/>
              <w:rPr>
                <w:rFonts w:ascii="Times New Roman" w:hAnsi="Times New Roman" w:cs="Times New Roman"/>
                <w:sz w:val="20"/>
              </w:rPr>
            </w:pPr>
            <w:r>
              <w:rPr>
                <w:rFonts w:ascii="Times New Roman" w:hAnsi="Times New Roman" w:cs="Times New Roman"/>
                <w:sz w:val="20"/>
              </w:rPr>
              <w:t>D</w:t>
            </w:r>
            <w:r w:rsidRPr="008040B8">
              <w:rPr>
                <w:rFonts w:ascii="Times New Roman" w:hAnsi="Times New Roman" w:cs="Times New Roman"/>
                <w:sz w:val="20"/>
              </w:rPr>
              <w:t>emonstrate knowledge of the strategic planning interface between national, state, and local governments.</w:t>
            </w:r>
          </w:p>
        </w:tc>
        <w:tc>
          <w:tcPr>
            <w:tcW w:w="936" w:type="dxa"/>
          </w:tcPr>
          <w:p w:rsidR="00406361" w:rsidRDefault="00406361" w:rsidP="00417B1D">
            <w:pPr>
              <w:jc w:val="center"/>
            </w:pPr>
            <w:r>
              <w:t>I</w:t>
            </w:r>
          </w:p>
        </w:tc>
        <w:tc>
          <w:tcPr>
            <w:tcW w:w="1080" w:type="dxa"/>
          </w:tcPr>
          <w:p w:rsidR="00406361" w:rsidRDefault="00406361" w:rsidP="00417B1D">
            <w:pPr>
              <w:jc w:val="center"/>
            </w:pPr>
            <w:r>
              <w:t>I</w:t>
            </w:r>
          </w:p>
        </w:tc>
        <w:tc>
          <w:tcPr>
            <w:tcW w:w="1080" w:type="dxa"/>
          </w:tcPr>
          <w:p w:rsidR="00406361" w:rsidRDefault="00406361" w:rsidP="00417B1D">
            <w:pPr>
              <w:jc w:val="center"/>
            </w:pPr>
            <w:r>
              <w:t>I</w:t>
            </w:r>
          </w:p>
        </w:tc>
      </w:tr>
      <w:tr w:rsidR="00406361" w:rsidTr="00417B1D">
        <w:trPr>
          <w:jc w:val="center"/>
        </w:trPr>
        <w:tc>
          <w:tcPr>
            <w:tcW w:w="2592" w:type="dxa"/>
          </w:tcPr>
          <w:p w:rsidR="00406361" w:rsidRPr="008040B8" w:rsidRDefault="00406361" w:rsidP="00417B1D">
            <w:pPr>
              <w:pStyle w:val="Default"/>
              <w:spacing w:after="138"/>
              <w:jc w:val="center"/>
              <w:rPr>
                <w:rFonts w:ascii="Times New Roman" w:hAnsi="Times New Roman" w:cs="Times New Roman"/>
                <w:sz w:val="20"/>
              </w:rPr>
            </w:pPr>
            <w:r w:rsidRPr="008040B8">
              <w:rPr>
                <w:rFonts w:ascii="Times New Roman" w:hAnsi="Times New Roman" w:cs="Times New Roman"/>
                <w:sz w:val="20"/>
              </w:rPr>
              <w:t>Demonstrate knowledge of the conceptual aspects of counter-terrorism.</w:t>
            </w:r>
          </w:p>
        </w:tc>
        <w:tc>
          <w:tcPr>
            <w:tcW w:w="936" w:type="dxa"/>
          </w:tcPr>
          <w:p w:rsidR="00406361" w:rsidRDefault="00406361" w:rsidP="00417B1D">
            <w:pPr>
              <w:jc w:val="center"/>
            </w:pPr>
          </w:p>
        </w:tc>
        <w:tc>
          <w:tcPr>
            <w:tcW w:w="1080" w:type="dxa"/>
          </w:tcPr>
          <w:p w:rsidR="00406361" w:rsidRDefault="00406361" w:rsidP="00417B1D">
            <w:pPr>
              <w:jc w:val="center"/>
            </w:pPr>
            <w:r>
              <w:t>I</w:t>
            </w:r>
          </w:p>
        </w:tc>
        <w:tc>
          <w:tcPr>
            <w:tcW w:w="1080" w:type="dxa"/>
          </w:tcPr>
          <w:p w:rsidR="00406361" w:rsidRDefault="00406361" w:rsidP="00417B1D">
            <w:pPr>
              <w:jc w:val="center"/>
            </w:pPr>
            <w:r>
              <w:t>I</w:t>
            </w:r>
          </w:p>
        </w:tc>
      </w:tr>
      <w:tr w:rsidR="00406361" w:rsidTr="00417B1D">
        <w:trPr>
          <w:jc w:val="center"/>
        </w:trPr>
        <w:tc>
          <w:tcPr>
            <w:tcW w:w="2592" w:type="dxa"/>
          </w:tcPr>
          <w:p w:rsidR="00406361" w:rsidRPr="008040B8" w:rsidRDefault="00406361" w:rsidP="00417B1D">
            <w:pPr>
              <w:pStyle w:val="Default"/>
              <w:spacing w:after="138"/>
              <w:jc w:val="center"/>
              <w:rPr>
                <w:rFonts w:ascii="Times New Roman" w:hAnsi="Times New Roman" w:cs="Times New Roman"/>
                <w:sz w:val="20"/>
              </w:rPr>
            </w:pPr>
            <w:r w:rsidRPr="008040B8">
              <w:rPr>
                <w:rFonts w:ascii="Times New Roman" w:hAnsi="Times New Roman" w:cs="Times New Roman"/>
                <w:sz w:val="20"/>
              </w:rPr>
              <w:t xml:space="preserve">Understanding of interagency communications </w:t>
            </w:r>
            <w:proofErr w:type="gramStart"/>
            <w:r w:rsidRPr="008040B8">
              <w:rPr>
                <w:rFonts w:ascii="Times New Roman" w:hAnsi="Times New Roman" w:cs="Times New Roman"/>
                <w:sz w:val="20"/>
              </w:rPr>
              <w:t>needs,</w:t>
            </w:r>
            <w:proofErr w:type="gramEnd"/>
            <w:r w:rsidRPr="008040B8">
              <w:rPr>
                <w:rFonts w:ascii="Times New Roman" w:hAnsi="Times New Roman" w:cs="Times New Roman"/>
                <w:sz w:val="20"/>
              </w:rPr>
              <w:t xml:space="preserve"> methods and processes.</w:t>
            </w:r>
          </w:p>
        </w:tc>
        <w:tc>
          <w:tcPr>
            <w:tcW w:w="936" w:type="dxa"/>
          </w:tcPr>
          <w:p w:rsidR="00406361" w:rsidRDefault="00406361" w:rsidP="00417B1D">
            <w:pPr>
              <w:jc w:val="center"/>
            </w:pPr>
            <w:r>
              <w:t>I</w:t>
            </w:r>
          </w:p>
        </w:tc>
        <w:tc>
          <w:tcPr>
            <w:tcW w:w="1080" w:type="dxa"/>
          </w:tcPr>
          <w:p w:rsidR="00406361" w:rsidRDefault="00406361" w:rsidP="00417B1D">
            <w:pPr>
              <w:jc w:val="center"/>
            </w:pPr>
            <w:r>
              <w:t>I</w:t>
            </w:r>
          </w:p>
        </w:tc>
        <w:tc>
          <w:tcPr>
            <w:tcW w:w="1080" w:type="dxa"/>
          </w:tcPr>
          <w:p w:rsidR="00406361" w:rsidRDefault="00406361" w:rsidP="00417B1D">
            <w:pPr>
              <w:jc w:val="center"/>
            </w:pPr>
            <w:r>
              <w:t>I</w:t>
            </w:r>
          </w:p>
        </w:tc>
      </w:tr>
      <w:tr w:rsidR="00406361" w:rsidTr="00417B1D">
        <w:trPr>
          <w:jc w:val="center"/>
        </w:trPr>
        <w:tc>
          <w:tcPr>
            <w:tcW w:w="2592" w:type="dxa"/>
          </w:tcPr>
          <w:p w:rsidR="00406361" w:rsidRPr="008040B8" w:rsidRDefault="00406361" w:rsidP="00417B1D">
            <w:pPr>
              <w:pStyle w:val="Default"/>
              <w:spacing w:after="138"/>
              <w:jc w:val="center"/>
              <w:rPr>
                <w:rFonts w:ascii="Times New Roman" w:hAnsi="Times New Roman" w:cs="Times New Roman"/>
                <w:sz w:val="20"/>
              </w:rPr>
            </w:pPr>
            <w:r w:rsidRPr="008040B8">
              <w:rPr>
                <w:rFonts w:ascii="Times New Roman" w:hAnsi="Times New Roman" w:cs="Times New Roman"/>
                <w:sz w:val="20"/>
              </w:rPr>
              <w:t>Compose and deliver professional reports, presentations and briefings.</w:t>
            </w:r>
          </w:p>
        </w:tc>
        <w:tc>
          <w:tcPr>
            <w:tcW w:w="936" w:type="dxa"/>
          </w:tcPr>
          <w:p w:rsidR="00406361" w:rsidRDefault="00406361" w:rsidP="00417B1D">
            <w:pPr>
              <w:jc w:val="center"/>
            </w:pPr>
            <w:r>
              <w:t>I</w:t>
            </w:r>
          </w:p>
        </w:tc>
        <w:tc>
          <w:tcPr>
            <w:tcW w:w="1080" w:type="dxa"/>
          </w:tcPr>
          <w:p w:rsidR="00406361" w:rsidRDefault="00406361" w:rsidP="00417B1D">
            <w:pPr>
              <w:jc w:val="center"/>
            </w:pPr>
            <w:r>
              <w:t>E</w:t>
            </w:r>
          </w:p>
        </w:tc>
        <w:tc>
          <w:tcPr>
            <w:tcW w:w="1080" w:type="dxa"/>
          </w:tcPr>
          <w:p w:rsidR="00406361" w:rsidRDefault="00406361" w:rsidP="00417B1D">
            <w:pPr>
              <w:jc w:val="center"/>
            </w:pPr>
            <w:r>
              <w:t>E</w:t>
            </w:r>
          </w:p>
        </w:tc>
      </w:tr>
    </w:tbl>
    <w:p w:rsidR="00406361" w:rsidRPr="00406361" w:rsidRDefault="00406361" w:rsidP="00C10537">
      <w:pPr>
        <w:rPr>
          <w:rFonts w:ascii="Calibri Bold" w:hAnsi="Calibri Bold"/>
          <w:b/>
        </w:rPr>
      </w:pPr>
    </w:p>
    <w:p w:rsidR="00A239A6" w:rsidRPr="00A239A6" w:rsidRDefault="00A239A6" w:rsidP="001504B3">
      <w:pPr>
        <w:rPr>
          <w:rFonts w:cs="Times New Roman"/>
          <w:i/>
        </w:rPr>
      </w:pPr>
    </w:p>
    <w:sectPr w:rsidR="00A239A6" w:rsidRPr="00A239A6" w:rsidSect="00A3352D">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09" w:rsidRDefault="00B07709" w:rsidP="003E4D84">
      <w:r>
        <w:separator/>
      </w:r>
    </w:p>
  </w:endnote>
  <w:endnote w:type="continuationSeparator" w:id="0">
    <w:p w:rsidR="00B07709" w:rsidRDefault="00B07709" w:rsidP="003E4D8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ヒラギノ角ゴ Pro W3">
    <w:charset w:val="4E"/>
    <w:family w:val="auto"/>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ight Oblique">
    <w:altName w:val="Malgun Gothic"/>
    <w:charset w:val="00"/>
    <w:family w:val="auto"/>
    <w:pitch w:val="variable"/>
    <w:sig w:usb0="00000003" w:usb1="4000204A"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0F" w:rsidRPr="009861B5" w:rsidRDefault="00DA780F" w:rsidP="009861B5">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09" w:rsidRDefault="00B07709" w:rsidP="003E4D84">
      <w:r>
        <w:separator/>
      </w:r>
    </w:p>
  </w:footnote>
  <w:footnote w:type="continuationSeparator" w:id="0">
    <w:p w:rsidR="00B07709" w:rsidRDefault="00B07709" w:rsidP="003E4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077E9"/>
    <w:multiLevelType w:val="hybridMultilevel"/>
    <w:tmpl w:val="EAE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218D2"/>
    <w:multiLevelType w:val="hybridMultilevel"/>
    <w:tmpl w:val="ED42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938CB"/>
    <w:multiLevelType w:val="hybridMultilevel"/>
    <w:tmpl w:val="E6E683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50B7"/>
    <w:multiLevelType w:val="hybridMultilevel"/>
    <w:tmpl w:val="5FEC5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8A0EE7"/>
    <w:multiLevelType w:val="hybridMultilevel"/>
    <w:tmpl w:val="CE4A6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DF31CA"/>
    <w:rsid w:val="00005830"/>
    <w:rsid w:val="00011284"/>
    <w:rsid w:val="00016E11"/>
    <w:rsid w:val="00030599"/>
    <w:rsid w:val="000422D9"/>
    <w:rsid w:val="000441AF"/>
    <w:rsid w:val="00075159"/>
    <w:rsid w:val="00096B9C"/>
    <w:rsid w:val="000A56FE"/>
    <w:rsid w:val="000A5EAF"/>
    <w:rsid w:val="000B63E3"/>
    <w:rsid w:val="000C080C"/>
    <w:rsid w:val="000D02F3"/>
    <w:rsid w:val="001504B3"/>
    <w:rsid w:val="00156215"/>
    <w:rsid w:val="001A36AE"/>
    <w:rsid w:val="001C397C"/>
    <w:rsid w:val="001D631D"/>
    <w:rsid w:val="00203873"/>
    <w:rsid w:val="00204FA9"/>
    <w:rsid w:val="00240522"/>
    <w:rsid w:val="00282D27"/>
    <w:rsid w:val="00284EC1"/>
    <w:rsid w:val="00295A80"/>
    <w:rsid w:val="00295B24"/>
    <w:rsid w:val="002A424D"/>
    <w:rsid w:val="002C1EEC"/>
    <w:rsid w:val="002F6B98"/>
    <w:rsid w:val="00311B22"/>
    <w:rsid w:val="00330958"/>
    <w:rsid w:val="003559B1"/>
    <w:rsid w:val="00370728"/>
    <w:rsid w:val="003841CF"/>
    <w:rsid w:val="00391575"/>
    <w:rsid w:val="00393E4B"/>
    <w:rsid w:val="003A4D39"/>
    <w:rsid w:val="003B3EAE"/>
    <w:rsid w:val="003E4D84"/>
    <w:rsid w:val="00406361"/>
    <w:rsid w:val="0042359B"/>
    <w:rsid w:val="0048226D"/>
    <w:rsid w:val="004D6973"/>
    <w:rsid w:val="005B53C1"/>
    <w:rsid w:val="005D6CE6"/>
    <w:rsid w:val="005E21D5"/>
    <w:rsid w:val="005F70D3"/>
    <w:rsid w:val="00612A6A"/>
    <w:rsid w:val="0061367C"/>
    <w:rsid w:val="006429A9"/>
    <w:rsid w:val="00671126"/>
    <w:rsid w:val="006E0448"/>
    <w:rsid w:val="006E0554"/>
    <w:rsid w:val="007479EC"/>
    <w:rsid w:val="007758B9"/>
    <w:rsid w:val="00796425"/>
    <w:rsid w:val="007A432A"/>
    <w:rsid w:val="007C7E7A"/>
    <w:rsid w:val="007E21D4"/>
    <w:rsid w:val="007E2FAD"/>
    <w:rsid w:val="00801C68"/>
    <w:rsid w:val="00814638"/>
    <w:rsid w:val="00824A24"/>
    <w:rsid w:val="00836359"/>
    <w:rsid w:val="00893E00"/>
    <w:rsid w:val="008B0445"/>
    <w:rsid w:val="008E1F60"/>
    <w:rsid w:val="008F7259"/>
    <w:rsid w:val="00960A50"/>
    <w:rsid w:val="00982C37"/>
    <w:rsid w:val="009861B5"/>
    <w:rsid w:val="00997519"/>
    <w:rsid w:val="00A239A6"/>
    <w:rsid w:val="00A3352D"/>
    <w:rsid w:val="00A577AF"/>
    <w:rsid w:val="00AB6F6F"/>
    <w:rsid w:val="00AC3AC7"/>
    <w:rsid w:val="00AE0894"/>
    <w:rsid w:val="00B07709"/>
    <w:rsid w:val="00B145D9"/>
    <w:rsid w:val="00B41400"/>
    <w:rsid w:val="00B433BA"/>
    <w:rsid w:val="00B739E2"/>
    <w:rsid w:val="00B755CA"/>
    <w:rsid w:val="00BD342C"/>
    <w:rsid w:val="00BE7081"/>
    <w:rsid w:val="00C10537"/>
    <w:rsid w:val="00C5116A"/>
    <w:rsid w:val="00C7325B"/>
    <w:rsid w:val="00CA294B"/>
    <w:rsid w:val="00CB02F7"/>
    <w:rsid w:val="00CC054F"/>
    <w:rsid w:val="00CE4D77"/>
    <w:rsid w:val="00CE5B75"/>
    <w:rsid w:val="00CF323D"/>
    <w:rsid w:val="00D074DC"/>
    <w:rsid w:val="00D25410"/>
    <w:rsid w:val="00D32325"/>
    <w:rsid w:val="00D5399A"/>
    <w:rsid w:val="00D65523"/>
    <w:rsid w:val="00D7768B"/>
    <w:rsid w:val="00D926B5"/>
    <w:rsid w:val="00DA67C6"/>
    <w:rsid w:val="00DA780F"/>
    <w:rsid w:val="00DE3525"/>
    <w:rsid w:val="00DF31CA"/>
    <w:rsid w:val="00DF610A"/>
    <w:rsid w:val="00E1212A"/>
    <w:rsid w:val="00E12878"/>
    <w:rsid w:val="00E21139"/>
    <w:rsid w:val="00E22EEA"/>
    <w:rsid w:val="00E5239C"/>
    <w:rsid w:val="00E5577E"/>
    <w:rsid w:val="00EA1242"/>
    <w:rsid w:val="00EB4F60"/>
    <w:rsid w:val="00EE6071"/>
    <w:rsid w:val="00F000BE"/>
    <w:rsid w:val="00F44DB2"/>
    <w:rsid w:val="00F703D8"/>
    <w:rsid w:val="00FC30E0"/>
    <w:rsid w:val="00FF7D3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C10537"/>
    <w:pPr>
      <w:spacing w:after="200" w:line="276" w:lineRule="auto"/>
      <w:ind w:left="720"/>
    </w:pPr>
    <w:rPr>
      <w:rFonts w:ascii="Calibri" w:eastAsia="ヒラギノ角ゴ Pro W3" w:hAnsi="Calibri" w:cs="Times New Roman"/>
      <w:color w:val="000000"/>
      <w:sz w:val="22"/>
      <w:szCs w:val="20"/>
    </w:rPr>
  </w:style>
  <w:style w:type="paragraph" w:styleId="FootnoteText">
    <w:name w:val="footnote text"/>
    <w:basedOn w:val="Normal"/>
    <w:link w:val="FootnoteTextChar"/>
    <w:uiPriority w:val="99"/>
    <w:unhideWhenUsed/>
    <w:rsid w:val="003E4D84"/>
  </w:style>
  <w:style w:type="character" w:customStyle="1" w:styleId="FootnoteTextChar">
    <w:name w:val="Footnote Text Char"/>
    <w:basedOn w:val="DefaultParagraphFont"/>
    <w:link w:val="FootnoteText"/>
    <w:uiPriority w:val="99"/>
    <w:rsid w:val="003E4D84"/>
  </w:style>
  <w:style w:type="character" w:styleId="FootnoteReference">
    <w:name w:val="footnote reference"/>
    <w:basedOn w:val="DefaultParagraphFont"/>
    <w:uiPriority w:val="99"/>
    <w:unhideWhenUsed/>
    <w:rsid w:val="003E4D84"/>
    <w:rPr>
      <w:vertAlign w:val="superscript"/>
    </w:rPr>
  </w:style>
  <w:style w:type="paragraph" w:styleId="Header">
    <w:name w:val="header"/>
    <w:basedOn w:val="Normal"/>
    <w:link w:val="HeaderChar"/>
    <w:uiPriority w:val="99"/>
    <w:unhideWhenUsed/>
    <w:rsid w:val="009861B5"/>
    <w:pPr>
      <w:tabs>
        <w:tab w:val="center" w:pos="4320"/>
        <w:tab w:val="right" w:pos="8640"/>
      </w:tabs>
    </w:pPr>
  </w:style>
  <w:style w:type="character" w:customStyle="1" w:styleId="HeaderChar">
    <w:name w:val="Header Char"/>
    <w:basedOn w:val="DefaultParagraphFont"/>
    <w:link w:val="Header"/>
    <w:uiPriority w:val="99"/>
    <w:rsid w:val="009861B5"/>
  </w:style>
  <w:style w:type="paragraph" w:styleId="Footer">
    <w:name w:val="footer"/>
    <w:basedOn w:val="Normal"/>
    <w:link w:val="FooterChar"/>
    <w:uiPriority w:val="99"/>
    <w:unhideWhenUsed/>
    <w:rsid w:val="009861B5"/>
    <w:pPr>
      <w:tabs>
        <w:tab w:val="center" w:pos="4320"/>
        <w:tab w:val="right" w:pos="8640"/>
      </w:tabs>
    </w:pPr>
  </w:style>
  <w:style w:type="character" w:customStyle="1" w:styleId="FooterChar">
    <w:name w:val="Footer Char"/>
    <w:basedOn w:val="DefaultParagraphFont"/>
    <w:link w:val="Footer"/>
    <w:uiPriority w:val="99"/>
    <w:rsid w:val="009861B5"/>
  </w:style>
  <w:style w:type="paragraph" w:customStyle="1" w:styleId="Default">
    <w:name w:val="Default"/>
    <w:rsid w:val="000D02F3"/>
    <w:pPr>
      <w:autoSpaceDE w:val="0"/>
      <w:autoSpaceDN w:val="0"/>
      <w:adjustRightInd w:val="0"/>
    </w:pPr>
    <w:rPr>
      <w:rFonts w:ascii="Verdana" w:eastAsia="Times New Roman" w:hAnsi="Verdana" w:cs="Verdana"/>
      <w:color w:val="000000"/>
    </w:rPr>
  </w:style>
  <w:style w:type="paragraph" w:styleId="BalloonText">
    <w:name w:val="Balloon Text"/>
    <w:basedOn w:val="Normal"/>
    <w:link w:val="BalloonTextChar"/>
    <w:uiPriority w:val="99"/>
    <w:semiHidden/>
    <w:unhideWhenUsed/>
    <w:rsid w:val="00156215"/>
    <w:rPr>
      <w:rFonts w:ascii="Tahoma" w:hAnsi="Tahoma" w:cs="Tahoma"/>
      <w:sz w:val="16"/>
      <w:szCs w:val="16"/>
    </w:rPr>
  </w:style>
  <w:style w:type="character" w:customStyle="1" w:styleId="BalloonTextChar">
    <w:name w:val="Balloon Text Char"/>
    <w:basedOn w:val="DefaultParagraphFont"/>
    <w:link w:val="BalloonText"/>
    <w:uiPriority w:val="99"/>
    <w:semiHidden/>
    <w:rsid w:val="00156215"/>
    <w:rPr>
      <w:rFonts w:ascii="Tahoma" w:hAnsi="Tahoma" w:cs="Tahoma"/>
      <w:sz w:val="16"/>
      <w:szCs w:val="16"/>
    </w:rPr>
  </w:style>
  <w:style w:type="table" w:styleId="TableGrid">
    <w:name w:val="Table Grid"/>
    <w:basedOn w:val="TableNormal"/>
    <w:uiPriority w:val="59"/>
    <w:rsid w:val="00406361"/>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C10537"/>
    <w:pPr>
      <w:spacing w:after="200" w:line="276" w:lineRule="auto"/>
      <w:ind w:left="720"/>
    </w:pPr>
    <w:rPr>
      <w:rFonts w:ascii="Calibri" w:eastAsia="ヒラギノ角ゴ Pro W3" w:hAnsi="Calibri" w:cs="Times New Roman"/>
      <w:color w:val="000000"/>
      <w:sz w:val="22"/>
      <w:szCs w:val="20"/>
    </w:rPr>
  </w:style>
  <w:style w:type="paragraph" w:styleId="FootnoteText">
    <w:name w:val="footnote text"/>
    <w:basedOn w:val="Normal"/>
    <w:link w:val="FootnoteTextChar"/>
    <w:uiPriority w:val="99"/>
    <w:unhideWhenUsed/>
    <w:rsid w:val="003E4D84"/>
  </w:style>
  <w:style w:type="character" w:customStyle="1" w:styleId="FootnoteTextChar">
    <w:name w:val="Footnote Text Char"/>
    <w:basedOn w:val="DefaultParagraphFont"/>
    <w:link w:val="FootnoteText"/>
    <w:uiPriority w:val="99"/>
    <w:rsid w:val="003E4D84"/>
  </w:style>
  <w:style w:type="character" w:styleId="FootnoteReference">
    <w:name w:val="footnote reference"/>
    <w:basedOn w:val="DefaultParagraphFont"/>
    <w:uiPriority w:val="99"/>
    <w:unhideWhenUsed/>
    <w:rsid w:val="003E4D84"/>
    <w:rPr>
      <w:vertAlign w:val="superscript"/>
    </w:rPr>
  </w:style>
  <w:style w:type="paragraph" w:styleId="Header">
    <w:name w:val="header"/>
    <w:basedOn w:val="Normal"/>
    <w:link w:val="HeaderChar"/>
    <w:uiPriority w:val="99"/>
    <w:unhideWhenUsed/>
    <w:rsid w:val="009861B5"/>
    <w:pPr>
      <w:tabs>
        <w:tab w:val="center" w:pos="4320"/>
        <w:tab w:val="right" w:pos="8640"/>
      </w:tabs>
    </w:pPr>
  </w:style>
  <w:style w:type="character" w:customStyle="1" w:styleId="HeaderChar">
    <w:name w:val="Header Char"/>
    <w:basedOn w:val="DefaultParagraphFont"/>
    <w:link w:val="Header"/>
    <w:uiPriority w:val="99"/>
    <w:rsid w:val="009861B5"/>
  </w:style>
  <w:style w:type="paragraph" w:styleId="Footer">
    <w:name w:val="footer"/>
    <w:basedOn w:val="Normal"/>
    <w:link w:val="FooterChar"/>
    <w:uiPriority w:val="99"/>
    <w:unhideWhenUsed/>
    <w:rsid w:val="009861B5"/>
    <w:pPr>
      <w:tabs>
        <w:tab w:val="center" w:pos="4320"/>
        <w:tab w:val="right" w:pos="8640"/>
      </w:tabs>
    </w:pPr>
  </w:style>
  <w:style w:type="character" w:customStyle="1" w:styleId="FooterChar">
    <w:name w:val="Footer Char"/>
    <w:basedOn w:val="DefaultParagraphFont"/>
    <w:link w:val="Footer"/>
    <w:uiPriority w:val="99"/>
    <w:rsid w:val="009861B5"/>
  </w:style>
  <w:style w:type="paragraph" w:customStyle="1" w:styleId="Default">
    <w:name w:val="Default"/>
    <w:rsid w:val="000D02F3"/>
    <w:pPr>
      <w:autoSpaceDE w:val="0"/>
      <w:autoSpaceDN w:val="0"/>
      <w:adjustRightInd w:val="0"/>
    </w:pPr>
    <w:rPr>
      <w:rFonts w:ascii="Verdana" w:eastAsia="Times New Roman" w:hAnsi="Verdana" w:cs="Verdana"/>
      <w:color w:val="000000"/>
    </w:rPr>
  </w:style>
  <w:style w:type="paragraph" w:styleId="BalloonText">
    <w:name w:val="Balloon Text"/>
    <w:basedOn w:val="Normal"/>
    <w:link w:val="BalloonTextChar"/>
    <w:uiPriority w:val="99"/>
    <w:semiHidden/>
    <w:unhideWhenUsed/>
    <w:rsid w:val="00156215"/>
    <w:rPr>
      <w:rFonts w:ascii="Tahoma" w:hAnsi="Tahoma" w:cs="Tahoma"/>
      <w:sz w:val="16"/>
      <w:szCs w:val="16"/>
    </w:rPr>
  </w:style>
  <w:style w:type="character" w:customStyle="1" w:styleId="BalloonTextChar">
    <w:name w:val="Balloon Text Char"/>
    <w:basedOn w:val="DefaultParagraphFont"/>
    <w:link w:val="BalloonText"/>
    <w:uiPriority w:val="99"/>
    <w:semiHidden/>
    <w:rsid w:val="00156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066A6785E4C4D903C27BF42396DAA" ma:contentTypeVersion="3" ma:contentTypeDescription="Create a new document." ma:contentTypeScope="" ma:versionID="800a4f4e2a91875a307163a154e65564">
  <xsd:schema xmlns:xsd="http://www.w3.org/2001/XMLSchema" xmlns:xs="http://www.w3.org/2001/XMLSchema" xmlns:p="http://schemas.microsoft.com/office/2006/metadata/properties" xmlns:ns1="http://schemas.microsoft.com/sharepoint/v3" targetNamespace="http://schemas.microsoft.com/office/2006/metadata/properties" ma:root="true" ma:fieldsID="719b49805481f86c37ead4a6077bbb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1F15F4-4513-4F39-A51B-DECD5A4DFB80}"/>
</file>

<file path=customXml/itemProps2.xml><?xml version="1.0" encoding="utf-8"?>
<ds:datastoreItem xmlns:ds="http://schemas.openxmlformats.org/officeDocument/2006/customXml" ds:itemID="{FBB48379-2C2C-4C77-91C7-F5810DBD85A6}"/>
</file>

<file path=customXml/itemProps3.xml><?xml version="1.0" encoding="utf-8"?>
<ds:datastoreItem xmlns:ds="http://schemas.openxmlformats.org/officeDocument/2006/customXml" ds:itemID="{A429E4E4-C753-4757-BEDF-9EDCD66C5F7B}"/>
</file>

<file path=docProps/app.xml><?xml version="1.0" encoding="utf-8"?>
<Properties xmlns="http://schemas.openxmlformats.org/officeDocument/2006/extended-properties" xmlns:vt="http://schemas.openxmlformats.org/officeDocument/2006/docPropsVTypes">
  <Template>Normal.dotm</Template>
  <TotalTime>2</TotalTime>
  <Pages>7</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OConnor</dc:creator>
  <cp:lastModifiedBy>erin.frew</cp:lastModifiedBy>
  <cp:revision>3</cp:revision>
  <dcterms:created xsi:type="dcterms:W3CDTF">2012-04-20T17:29:00Z</dcterms:created>
  <dcterms:modified xsi:type="dcterms:W3CDTF">2012-04-20T17:31:00Z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0x010100F99066A6785E4C4D903C27BF42396DAA</vt:lpwstr>
  </property>
  <property fmtid="{D5CDD505-2E9C-101B-9397-08002B2CF9AE}" pid="3" name="TemplateUrl">
    <vt:lpwstr/>
  </property>
  <property fmtid="{D5CDD505-2E9C-101B-9397-08002B2CF9AE}" pid="4" name="Order">
    <vt:r8>14000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